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pacing w:val="116"/>
          <w:sz w:val="52"/>
          <w:highlight w:val="none"/>
        </w:rPr>
      </w:pPr>
      <w:bookmarkStart w:id="79" w:name="_GoBack"/>
      <w:bookmarkEnd w:id="79"/>
    </w:p>
    <w:p>
      <w:pPr>
        <w:jc w:val="center"/>
        <w:rPr>
          <w:rFonts w:hint="eastAsia" w:ascii="宋体" w:hAnsi="宋体" w:eastAsia="宋体" w:cs="宋体"/>
          <w:color w:val="auto"/>
          <w:sz w:val="72"/>
          <w:szCs w:val="72"/>
          <w:highlight w:val="none"/>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72"/>
          <w:szCs w:val="72"/>
          <w:highlight w:val="none"/>
        </w:rPr>
      </w:pPr>
      <w:r>
        <w:rPr>
          <w:rFonts w:hint="eastAsia" w:ascii="宋体" w:hAnsi="宋体" w:cs="宋体"/>
          <w:color w:val="auto"/>
          <w:sz w:val="72"/>
          <w:szCs w:val="72"/>
          <w:highlight w:val="none"/>
          <w:lang w:val="en-US" w:eastAsia="zh-CN"/>
        </w:rPr>
        <w:t>广西国际博览集团有限</w:t>
      </w:r>
      <w:r>
        <w:rPr>
          <w:rFonts w:hint="eastAsia" w:ascii="宋体" w:hAnsi="宋体" w:eastAsia="宋体" w:cs="宋体"/>
          <w:color w:val="auto"/>
          <w:sz w:val="72"/>
          <w:szCs w:val="72"/>
          <w:highlight w:val="none"/>
        </w:rPr>
        <w:t>公司</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sz w:val="72"/>
          <w:szCs w:val="72"/>
          <w:highlight w:val="none"/>
          <w:lang w:val="en-US" w:eastAsia="zh-CN"/>
        </w:rPr>
      </w:pPr>
      <w:r>
        <w:rPr>
          <w:rFonts w:hint="eastAsia" w:ascii="宋体" w:hAnsi="宋体" w:cs="宋体"/>
          <w:color w:val="auto"/>
          <w:sz w:val="72"/>
          <w:szCs w:val="72"/>
          <w:highlight w:val="none"/>
          <w:lang w:val="en-US" w:eastAsia="zh-CN"/>
        </w:rPr>
        <w:t>2019－2023年度重点群体</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sz w:val="72"/>
          <w:szCs w:val="72"/>
          <w:highlight w:val="none"/>
          <w:lang w:val="en-US" w:eastAsia="zh-CN"/>
        </w:rPr>
      </w:pPr>
      <w:r>
        <w:rPr>
          <w:rFonts w:hint="eastAsia" w:ascii="宋体" w:hAnsi="宋体" w:cs="宋体"/>
          <w:color w:val="auto"/>
          <w:sz w:val="72"/>
          <w:szCs w:val="72"/>
          <w:highlight w:val="none"/>
          <w:lang w:val="en-US" w:eastAsia="zh-CN"/>
        </w:rPr>
        <w:t>退抵税补贴项目服务采购磋商文件</w:t>
      </w:r>
    </w:p>
    <w:p>
      <w:pPr>
        <w:jc w:val="center"/>
        <w:rPr>
          <w:rFonts w:hint="eastAsia" w:ascii="宋体" w:hAnsi="宋体" w:eastAsia="宋体" w:cs="宋体"/>
          <w:color w:val="auto"/>
          <w:highlight w:val="none"/>
        </w:rPr>
      </w:pPr>
    </w:p>
    <w:p>
      <w:pPr>
        <w:jc w:val="center"/>
        <w:rPr>
          <w:rFonts w:hint="eastAsia" w:ascii="宋体" w:hAnsi="宋体" w:eastAsia="宋体" w:cs="宋体"/>
          <w:b/>
          <w:color w:val="auto"/>
          <w:sz w:val="36"/>
          <w:szCs w:val="36"/>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bidi w:val="0"/>
        <w:ind w:left="0" w:leftChars="0" w:firstLine="0" w:firstLineChars="0"/>
        <w:rPr>
          <w:rFonts w:hint="eastAsia"/>
          <w:color w:val="auto"/>
          <w:highlight w:val="none"/>
        </w:rPr>
      </w:pPr>
      <w:bookmarkStart w:id="0" w:name="_Toc13374"/>
      <w:bookmarkStart w:id="1" w:name="_Toc19758"/>
    </w:p>
    <w:p>
      <w:pPr>
        <w:rPr>
          <w:rFonts w:hint="eastAsia"/>
          <w:b/>
          <w:bCs/>
          <w:color w:val="auto"/>
          <w:sz w:val="28"/>
          <w:szCs w:val="28"/>
          <w:highlight w:val="none"/>
          <w:lang w:val="en-US" w:eastAsia="zh-CN"/>
        </w:rPr>
      </w:pPr>
      <w:r>
        <w:rPr>
          <w:rFonts w:hint="eastAsia"/>
          <w:b/>
          <w:bCs/>
          <w:color w:val="auto"/>
          <w:sz w:val="28"/>
          <w:szCs w:val="28"/>
          <w:highlight w:val="none"/>
        </w:rPr>
        <w:t>项目名称</w:t>
      </w:r>
      <w:r>
        <w:rPr>
          <w:rFonts w:hint="eastAsia"/>
          <w:b/>
          <w:bCs/>
          <w:color w:val="auto"/>
          <w:sz w:val="28"/>
          <w:szCs w:val="28"/>
          <w:highlight w:val="none"/>
          <w:lang w:eastAsia="zh-CN"/>
        </w:rPr>
        <w:t>：</w:t>
      </w:r>
      <w:r>
        <w:rPr>
          <w:rFonts w:hint="eastAsia"/>
          <w:b/>
          <w:bCs/>
          <w:color w:val="auto"/>
          <w:sz w:val="28"/>
          <w:szCs w:val="28"/>
          <w:highlight w:val="none"/>
          <w:lang w:val="en-US" w:eastAsia="zh-CN"/>
        </w:rPr>
        <w:t>广西国际博览集团有限</w:t>
      </w:r>
      <w:r>
        <w:rPr>
          <w:rFonts w:hint="eastAsia"/>
          <w:b/>
          <w:bCs/>
          <w:color w:val="auto"/>
          <w:sz w:val="28"/>
          <w:szCs w:val="28"/>
          <w:highlight w:val="none"/>
          <w:lang w:eastAsia="zh-CN"/>
        </w:rPr>
        <w:t>公司</w:t>
      </w:r>
      <w:r>
        <w:rPr>
          <w:rFonts w:hint="eastAsia"/>
          <w:b/>
          <w:bCs/>
          <w:color w:val="auto"/>
          <w:sz w:val="28"/>
          <w:szCs w:val="28"/>
          <w:highlight w:val="none"/>
          <w:lang w:val="en-US" w:eastAsia="zh-CN"/>
        </w:rPr>
        <w:t>2019－2023年度</w:t>
      </w:r>
      <w:r>
        <w:rPr>
          <w:rFonts w:hint="eastAsia"/>
          <w:b/>
          <w:bCs/>
          <w:color w:val="auto"/>
          <w:sz w:val="28"/>
          <w:szCs w:val="28"/>
          <w:highlight w:val="none"/>
          <w:lang w:eastAsia="zh-CN"/>
        </w:rPr>
        <w:t>重点</w:t>
      </w:r>
      <w:r>
        <w:rPr>
          <w:rFonts w:hint="eastAsia"/>
          <w:b/>
          <w:bCs/>
          <w:color w:val="auto"/>
          <w:sz w:val="28"/>
          <w:szCs w:val="28"/>
          <w:highlight w:val="none"/>
          <w:lang w:val="en-US" w:eastAsia="zh-CN"/>
        </w:rPr>
        <w:t>群体</w:t>
      </w:r>
    </w:p>
    <w:p>
      <w:pPr>
        <w:ind w:firstLine="1968" w:firstLineChars="700"/>
        <w:rPr>
          <w:rFonts w:hint="eastAsia"/>
          <w:b/>
          <w:bCs/>
          <w:color w:val="auto"/>
          <w:sz w:val="28"/>
          <w:szCs w:val="28"/>
          <w:highlight w:val="none"/>
        </w:rPr>
      </w:pPr>
      <w:r>
        <w:rPr>
          <w:rFonts w:hint="eastAsia"/>
          <w:b/>
          <w:bCs/>
          <w:color w:val="auto"/>
          <w:sz w:val="28"/>
          <w:szCs w:val="28"/>
          <w:highlight w:val="none"/>
          <w:lang w:eastAsia="zh-CN"/>
        </w:rPr>
        <w:t>退抵税</w:t>
      </w:r>
      <w:r>
        <w:rPr>
          <w:rFonts w:hint="eastAsia"/>
          <w:b/>
          <w:bCs/>
          <w:color w:val="auto"/>
          <w:sz w:val="28"/>
          <w:szCs w:val="28"/>
          <w:highlight w:val="none"/>
          <w:lang w:val="en-US" w:eastAsia="zh-CN"/>
        </w:rPr>
        <w:t>补贴</w:t>
      </w:r>
      <w:r>
        <w:rPr>
          <w:rFonts w:hint="eastAsia"/>
          <w:b/>
          <w:bCs/>
          <w:color w:val="auto"/>
          <w:sz w:val="28"/>
          <w:szCs w:val="28"/>
          <w:highlight w:val="none"/>
          <w:lang w:eastAsia="zh-CN"/>
        </w:rPr>
        <w:t>项目服务</w:t>
      </w:r>
      <w:r>
        <w:rPr>
          <w:rFonts w:hint="eastAsia"/>
          <w:b/>
          <w:bCs/>
          <w:color w:val="auto"/>
          <w:sz w:val="28"/>
          <w:szCs w:val="28"/>
          <w:highlight w:val="none"/>
          <w:lang w:val="en-US" w:eastAsia="zh-CN"/>
        </w:rPr>
        <w:t>采购</w:t>
      </w:r>
      <w:r>
        <w:rPr>
          <w:rFonts w:hint="eastAsia"/>
          <w:b/>
          <w:bCs/>
          <w:color w:val="auto"/>
          <w:sz w:val="28"/>
          <w:szCs w:val="28"/>
          <w:highlight w:val="none"/>
          <w:lang w:eastAsia="zh-CN"/>
        </w:rPr>
        <w:t>项目</w:t>
      </w:r>
      <w:bookmarkEnd w:id="0"/>
      <w:bookmarkEnd w:id="1"/>
    </w:p>
    <w:p>
      <w:pPr>
        <w:rPr>
          <w:rFonts w:hint="eastAsia" w:ascii="宋体" w:hAnsi="宋体" w:eastAsia="宋体" w:cs="宋体"/>
          <w:b/>
          <w:bCs/>
          <w:color w:val="auto"/>
          <w:sz w:val="28"/>
          <w:szCs w:val="28"/>
          <w:highlight w:val="none"/>
        </w:rPr>
      </w:pPr>
      <w:r>
        <w:rPr>
          <w:rFonts w:hint="eastAsia"/>
          <w:b/>
          <w:bCs/>
          <w:color w:val="auto"/>
          <w:sz w:val="28"/>
          <w:szCs w:val="28"/>
          <w:highlight w:val="none"/>
        </w:rPr>
        <w:t>采购单</w:t>
      </w:r>
      <w:r>
        <w:rPr>
          <w:rFonts w:hint="eastAsia"/>
          <w:b/>
          <w:bCs/>
          <w:color w:val="auto"/>
          <w:sz w:val="28"/>
          <w:szCs w:val="28"/>
          <w:highlight w:val="none"/>
          <w:lang w:eastAsia="zh-CN"/>
        </w:rPr>
        <w:t>位：</w:t>
      </w:r>
      <w:r>
        <w:rPr>
          <w:rFonts w:hint="eastAsia"/>
          <w:b/>
          <w:bCs/>
          <w:color w:val="auto"/>
          <w:sz w:val="28"/>
          <w:szCs w:val="28"/>
          <w:highlight w:val="none"/>
          <w:lang w:val="en-US" w:eastAsia="zh-CN"/>
        </w:rPr>
        <w:t>广西国际博览集团有限</w:t>
      </w:r>
      <w:r>
        <w:rPr>
          <w:rFonts w:hint="eastAsia"/>
          <w:b/>
          <w:bCs/>
          <w:color w:val="auto"/>
          <w:sz w:val="28"/>
          <w:szCs w:val="28"/>
          <w:highlight w:val="none"/>
          <w:lang w:eastAsia="zh-CN"/>
        </w:rPr>
        <w:t>公司</w:t>
      </w:r>
      <w:r>
        <w:rPr>
          <w:rFonts w:hint="eastAsia" w:ascii="宋体" w:hAnsi="宋体" w:eastAsia="宋体" w:cs="宋体"/>
          <w:b/>
          <w:bCs/>
          <w:color w:val="auto"/>
          <w:sz w:val="28"/>
          <w:szCs w:val="28"/>
          <w:highlight w:val="none"/>
        </w:rPr>
        <w:t xml:space="preserve"> </w:t>
      </w:r>
    </w:p>
    <w:p>
      <w:pPr>
        <w:spacing w:line="480" w:lineRule="auto"/>
        <w:jc w:val="center"/>
        <w:rPr>
          <w:rFonts w:hint="eastAsia" w:ascii="宋体" w:hAnsi="宋体" w:eastAsia="宋体" w:cs="宋体"/>
          <w:b/>
          <w:color w:val="auto"/>
          <w:sz w:val="32"/>
          <w:szCs w:val="32"/>
          <w:highlight w:val="none"/>
        </w:rPr>
      </w:pPr>
    </w:p>
    <w:p>
      <w:pPr>
        <w:spacing w:line="480" w:lineRule="auto"/>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202</w:t>
      </w:r>
      <w:r>
        <w:rPr>
          <w:rFonts w:hint="eastAsia" w:ascii="宋体" w:hAnsi="宋体" w:cs="宋体"/>
          <w:b/>
          <w:color w:val="auto"/>
          <w:sz w:val="32"/>
          <w:szCs w:val="32"/>
          <w:highlight w:val="none"/>
          <w:lang w:val="en-US" w:eastAsia="zh-CN"/>
        </w:rPr>
        <w:t>3</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9</w:t>
      </w:r>
      <w:r>
        <w:rPr>
          <w:rFonts w:hint="eastAsia" w:ascii="宋体" w:hAnsi="宋体" w:eastAsia="宋体" w:cs="宋体"/>
          <w:b/>
          <w:color w:val="auto"/>
          <w:sz w:val="32"/>
          <w:szCs w:val="32"/>
          <w:highlight w:val="none"/>
        </w:rPr>
        <w:t>月</w:t>
      </w:r>
      <w:r>
        <w:rPr>
          <w:rFonts w:hint="eastAsia" w:ascii="宋体" w:hAnsi="宋体" w:cs="宋体"/>
          <w:b/>
          <w:color w:val="auto"/>
          <w:sz w:val="32"/>
          <w:szCs w:val="32"/>
          <w:highlight w:val="none"/>
          <w:lang w:val="en-US" w:eastAsia="zh-CN"/>
        </w:rPr>
        <w:t>1</w:t>
      </w:r>
      <w:r>
        <w:rPr>
          <w:rFonts w:hint="eastAsia" w:ascii="宋体" w:hAnsi="宋体" w:eastAsia="宋体" w:cs="宋体"/>
          <w:b/>
          <w:color w:val="auto"/>
          <w:sz w:val="32"/>
          <w:szCs w:val="32"/>
          <w:highlight w:val="none"/>
          <w:lang w:val="en-US" w:eastAsia="zh-CN"/>
        </w:rPr>
        <w:t>日</w:t>
      </w:r>
    </w:p>
    <w:p>
      <w:pPr>
        <w:pStyle w:val="42"/>
        <w:outlineLvl w:val="9"/>
        <w:rPr>
          <w:rFonts w:hint="eastAsia"/>
          <w:color w:val="auto"/>
          <w:highlight w:val="none"/>
          <w:lang w:val="en-US" w:eastAsia="zh-CN"/>
        </w:rPr>
      </w:pPr>
    </w:p>
    <w:p>
      <w:pPr>
        <w:spacing w:line="600" w:lineRule="auto"/>
        <w:jc w:val="center"/>
        <w:rPr>
          <w:rFonts w:hint="eastAsia" w:ascii="宋体" w:hAnsi="宋体" w:eastAsia="宋体" w:cs="宋体"/>
          <w:b/>
          <w:color w:val="auto"/>
          <w:sz w:val="44"/>
          <w:szCs w:val="52"/>
          <w:highlight w:val="none"/>
        </w:rPr>
        <w:sectPr>
          <w:pgSz w:w="11906" w:h="16838"/>
          <w:pgMar w:top="1270" w:right="1474" w:bottom="1157" w:left="1587" w:header="851" w:footer="992" w:gutter="0"/>
          <w:pgNumType w:fmt="decimal"/>
          <w:cols w:space="720" w:num="1"/>
          <w:rtlGutter w:val="0"/>
          <w:docGrid w:type="lines" w:linePitch="312" w:charSpace="0"/>
        </w:sectPr>
      </w:pPr>
    </w:p>
    <w:p>
      <w:pPr>
        <w:keepNext w:val="0"/>
        <w:keepLines w:val="0"/>
        <w:pageBreakBefore w:val="0"/>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目</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录</w:t>
      </w:r>
    </w:p>
    <w:p>
      <w:pPr>
        <w:pStyle w:val="29"/>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480" w:lineRule="auto"/>
        <w:ind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_Toc1312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第一章 </w:t>
      </w:r>
      <w:r>
        <w:rPr>
          <w:rFonts w:hint="eastAsia" w:eastAsia="宋体" w:cs="宋体"/>
          <w:color w:val="auto"/>
          <w:sz w:val="28"/>
          <w:szCs w:val="28"/>
          <w:highlight w:val="none"/>
          <w:lang w:eastAsia="zh-CN"/>
        </w:rPr>
        <w:t>竞争性</w:t>
      </w:r>
      <w:r>
        <w:rPr>
          <w:rFonts w:hint="eastAsia" w:ascii="宋体" w:hAnsi="宋体" w:eastAsia="宋体" w:cs="宋体"/>
          <w:color w:val="auto"/>
          <w:sz w:val="28"/>
          <w:szCs w:val="28"/>
          <w:highlight w:val="none"/>
        </w:rPr>
        <w:t>磋商</w:t>
      </w:r>
      <w:r>
        <w:rPr>
          <w:rFonts w:hint="eastAsia" w:ascii="宋体" w:hAnsi="宋体" w:eastAsia="宋体" w:cs="宋体"/>
          <w:color w:val="auto"/>
          <w:sz w:val="28"/>
          <w:szCs w:val="28"/>
          <w:highlight w:val="none"/>
          <w:lang w:val="en-US" w:eastAsia="zh-CN"/>
        </w:rPr>
        <w:t>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_Toc1312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9"/>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480" w:lineRule="auto"/>
        <w:ind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_Toc28281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第二章 </w:t>
      </w:r>
      <w:r>
        <w:rPr>
          <w:rFonts w:hint="eastAsia" w:ascii="宋体" w:hAnsi="宋体" w:eastAsia="宋体" w:cs="宋体"/>
          <w:color w:val="auto"/>
          <w:sz w:val="28"/>
          <w:szCs w:val="28"/>
          <w:highlight w:val="none"/>
          <w:lang w:val="en-US" w:eastAsia="zh-CN"/>
        </w:rPr>
        <w:t>供应商</w:t>
      </w:r>
      <w:r>
        <w:rPr>
          <w:rFonts w:hint="eastAsia" w:ascii="宋体" w:hAnsi="宋体" w:eastAsia="宋体" w:cs="宋体"/>
          <w:color w:val="auto"/>
          <w:sz w:val="28"/>
          <w:szCs w:val="28"/>
          <w:highlight w:val="none"/>
        </w:rPr>
        <w:t>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_Toc28281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9"/>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480" w:lineRule="auto"/>
        <w:ind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_Toc28148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第三章 评审方法及标准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_Toc28148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9"/>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480" w:lineRule="auto"/>
        <w:ind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_Toc22431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rPr>
        <w:t xml:space="preserve">章 </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_Toc22431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9"/>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480" w:lineRule="auto"/>
        <w:ind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_Toc16472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rPr>
        <w:t xml:space="preserve">章 </w:t>
      </w:r>
      <w:r>
        <w:rPr>
          <w:rFonts w:hint="eastAsia" w:ascii="宋体" w:hAnsi="宋体" w:eastAsia="宋体" w:cs="宋体"/>
          <w:color w:val="auto"/>
          <w:sz w:val="28"/>
          <w:szCs w:val="28"/>
          <w:highlight w:val="none"/>
          <w:lang w:val="en-US" w:eastAsia="zh-CN"/>
        </w:rPr>
        <w:t>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_Toc16472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9"/>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480" w:lineRule="auto"/>
        <w:ind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_Toc13698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六</w:t>
      </w:r>
      <w:r>
        <w:rPr>
          <w:rFonts w:hint="eastAsia" w:ascii="宋体" w:hAnsi="宋体" w:eastAsia="宋体" w:cs="宋体"/>
          <w:color w:val="auto"/>
          <w:sz w:val="28"/>
          <w:szCs w:val="28"/>
          <w:highlight w:val="none"/>
        </w:rPr>
        <w:t xml:space="preserve">章 </w:t>
      </w:r>
      <w:r>
        <w:rPr>
          <w:rFonts w:hint="eastAsia" w:ascii="宋体" w:hAnsi="宋体" w:eastAsia="宋体" w:cs="宋体"/>
          <w:color w:val="auto"/>
          <w:sz w:val="28"/>
          <w:szCs w:val="28"/>
          <w:highlight w:val="none"/>
          <w:lang w:val="en-US" w:eastAsia="zh-CN"/>
        </w:rPr>
        <w:t>合同格式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_Toc13698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36"/>
          <w:highlight w:val="none"/>
        </w:rPr>
      </w:pPr>
      <w:r>
        <w:rPr>
          <w:rFonts w:hint="eastAsia" w:ascii="宋体" w:hAnsi="宋体" w:eastAsia="宋体" w:cs="宋体"/>
          <w:color w:val="auto"/>
          <w:sz w:val="28"/>
          <w:szCs w:val="28"/>
          <w:highlight w:val="none"/>
        </w:rPr>
        <w:fldChar w:fldCharType="end"/>
      </w:r>
    </w:p>
    <w:p>
      <w:pPr>
        <w:spacing w:line="160" w:lineRule="exact"/>
        <w:rPr>
          <w:rFonts w:hint="eastAsia" w:ascii="宋体" w:hAnsi="宋体" w:eastAsia="宋体" w:cs="宋体"/>
          <w:b/>
          <w:bCs/>
          <w:color w:val="auto"/>
          <w:highlight w:val="none"/>
        </w:rPr>
      </w:pPr>
      <w:r>
        <w:rPr>
          <w:rFonts w:hint="eastAsia" w:ascii="宋体" w:hAnsi="宋体" w:eastAsia="宋体" w:cs="宋体"/>
          <w:color w:val="auto"/>
          <w:sz w:val="36"/>
          <w:highlight w:val="none"/>
        </w:rPr>
        <w:br w:type="page"/>
      </w:r>
    </w:p>
    <w:p>
      <w:pPr>
        <w:pStyle w:val="3"/>
        <w:bidi w:val="0"/>
        <w:jc w:val="center"/>
        <w:rPr>
          <w:rFonts w:hint="eastAsia" w:eastAsia="宋体"/>
          <w:color w:val="auto"/>
          <w:highlight w:val="none"/>
          <w:lang w:val="en-US" w:eastAsia="zh-CN"/>
        </w:rPr>
      </w:pPr>
      <w:bookmarkStart w:id="2" w:name="_Toc9180"/>
      <w:bookmarkStart w:id="3" w:name="_Toc3066"/>
      <w:bookmarkStart w:id="4" w:name="_Toc1312"/>
      <w:r>
        <w:rPr>
          <w:rFonts w:hint="eastAsia"/>
          <w:color w:val="auto"/>
          <w:highlight w:val="none"/>
        </w:rPr>
        <w:t xml:space="preserve">第一章 </w:t>
      </w:r>
      <w:r>
        <w:rPr>
          <w:rFonts w:hint="eastAsia"/>
          <w:color w:val="auto"/>
          <w:highlight w:val="none"/>
          <w:lang w:eastAsia="zh-CN"/>
        </w:rPr>
        <w:t>竞争性</w:t>
      </w:r>
      <w:r>
        <w:rPr>
          <w:rFonts w:hint="eastAsia"/>
          <w:color w:val="auto"/>
          <w:highlight w:val="none"/>
        </w:rPr>
        <w:t>磋商</w:t>
      </w:r>
      <w:bookmarkEnd w:id="2"/>
      <w:r>
        <w:rPr>
          <w:rFonts w:hint="eastAsia"/>
          <w:color w:val="auto"/>
          <w:highlight w:val="none"/>
          <w:lang w:val="en-US" w:eastAsia="zh-CN"/>
        </w:rPr>
        <w:t>公告</w:t>
      </w:r>
      <w:bookmarkEnd w:id="3"/>
      <w:bookmarkEnd w:id="4"/>
    </w:p>
    <w:p>
      <w:pPr>
        <w:bidi w:val="0"/>
        <w:rPr>
          <w:rFonts w:hint="eastAsia"/>
          <w:color w:val="auto"/>
          <w:highlight w:val="none"/>
        </w:rPr>
      </w:pPr>
      <w:r>
        <w:rPr>
          <w:rFonts w:hint="eastAsia"/>
          <w:color w:val="auto"/>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广西国际博览集团有限公司2019－2023年度重点群体退抵税补贴项目</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的潜在供应商应在</w:t>
      </w:r>
      <w:r>
        <w:rPr>
          <w:rFonts w:hint="eastAsia" w:ascii="宋体" w:hAnsi="宋体" w:eastAsia="宋体" w:cs="宋体"/>
          <w:color w:val="auto"/>
          <w:sz w:val="24"/>
          <w:szCs w:val="24"/>
          <w:highlight w:val="none"/>
          <w:lang w:val="en-US" w:eastAsia="zh-CN"/>
        </w:rPr>
        <w:t>广西国际博览集团有限</w:t>
      </w:r>
      <w:r>
        <w:rPr>
          <w:rFonts w:hint="eastAsia" w:ascii="宋体" w:hAnsi="宋体" w:eastAsia="宋体" w:cs="宋体"/>
          <w:color w:val="auto"/>
          <w:sz w:val="24"/>
          <w:szCs w:val="24"/>
          <w:highlight w:val="none"/>
          <w:lang w:eastAsia="zh-CN"/>
        </w:rPr>
        <w:t>公司</w:t>
      </w:r>
      <w:r>
        <w:rPr>
          <w:rFonts w:hint="eastAsia" w:ascii="宋体" w:hAnsi="宋体" w:eastAsia="宋体" w:cs="宋体"/>
          <w:b w:val="0"/>
          <w:i w:val="0"/>
          <w:caps w:val="0"/>
          <w:color w:val="auto"/>
          <w:spacing w:val="0"/>
          <w:w w:val="100"/>
          <w:sz w:val="24"/>
          <w:szCs w:val="24"/>
          <w:highlight w:val="none"/>
          <w:u w:val="single" w:color="000000"/>
          <w:lang w:val="en-US" w:eastAsia="zh-CN"/>
        </w:rPr>
        <w:t>（www.</w:t>
      </w:r>
      <w:r>
        <w:rPr>
          <w:rFonts w:hint="eastAsia" w:ascii="宋体" w:hAnsi="宋体" w:cs="宋体"/>
          <w:b w:val="0"/>
          <w:i w:val="0"/>
          <w:caps w:val="0"/>
          <w:color w:val="auto"/>
          <w:spacing w:val="0"/>
          <w:w w:val="100"/>
          <w:sz w:val="24"/>
          <w:szCs w:val="24"/>
          <w:highlight w:val="none"/>
          <w:u w:val="single" w:color="000000"/>
          <w:lang w:val="en-US" w:eastAsia="zh-CN"/>
        </w:rPr>
        <w:t>gxexpogp</w:t>
      </w:r>
      <w:r>
        <w:rPr>
          <w:rFonts w:hint="eastAsia" w:ascii="宋体" w:hAnsi="宋体" w:eastAsia="宋体" w:cs="宋体"/>
          <w:b w:val="0"/>
          <w:i w:val="0"/>
          <w:caps w:val="0"/>
          <w:color w:val="auto"/>
          <w:spacing w:val="0"/>
          <w:w w:val="100"/>
          <w:sz w:val="24"/>
          <w:szCs w:val="24"/>
          <w:highlight w:val="none"/>
          <w:u w:val="single" w:color="000000"/>
          <w:lang w:val="en-US" w:eastAsia="zh-CN"/>
        </w:rPr>
        <w:t>.cn/）</w:t>
      </w:r>
      <w:r>
        <w:rPr>
          <w:rFonts w:hint="eastAsia" w:ascii="宋体" w:hAnsi="宋体" w:eastAsia="宋体" w:cs="宋体"/>
          <w:color w:val="auto"/>
          <w:sz w:val="24"/>
          <w:szCs w:val="24"/>
          <w:highlight w:val="none"/>
        </w:rPr>
        <w:t>获取采购文件，并于</w:t>
      </w:r>
      <w:r>
        <w:rPr>
          <w:rFonts w:hint="eastAsia" w:ascii="宋体" w:hAnsi="宋体" w:eastAsia="宋体" w:cs="宋体"/>
          <w:bCs/>
          <w:color w:val="auto"/>
          <w:sz w:val="24"/>
          <w:szCs w:val="24"/>
          <w:highlight w:val="none"/>
          <w:u w:val="single"/>
        </w:rPr>
        <w:t>202</w:t>
      </w:r>
      <w:r>
        <w:rPr>
          <w:rFonts w:hint="eastAsia" w:ascii="宋体" w:hAnsi="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9月5</w:t>
      </w:r>
      <w:r>
        <w:rPr>
          <w:rFonts w:hint="eastAsia" w:ascii="宋体" w:hAnsi="宋体" w:eastAsia="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18</w:t>
      </w:r>
      <w:r>
        <w:rPr>
          <w:rFonts w:hint="eastAsia" w:ascii="宋体" w:hAnsi="宋体" w:eastAsia="宋体" w:cs="宋体"/>
          <w:bCs/>
          <w:color w:val="auto"/>
          <w:sz w:val="24"/>
          <w:szCs w:val="24"/>
          <w:highlight w:val="none"/>
          <w:u w:val="single"/>
        </w:rPr>
        <w:t>点00分00秒</w:t>
      </w:r>
      <w:r>
        <w:rPr>
          <w:rFonts w:hint="eastAsia" w:ascii="宋体" w:hAnsi="宋体" w:eastAsia="宋体" w:cs="宋体"/>
          <w:bCs/>
          <w:color w:val="auto"/>
          <w:sz w:val="24"/>
          <w:szCs w:val="24"/>
          <w:highlight w:val="none"/>
          <w:u w:val="none"/>
        </w:rPr>
        <w:t>(北京时间)</w:t>
      </w:r>
      <w:r>
        <w:rPr>
          <w:rFonts w:hint="eastAsia" w:ascii="宋体" w:hAnsi="宋体" w:eastAsia="宋体" w:cs="宋体"/>
          <w:bCs/>
          <w:color w:val="auto"/>
          <w:sz w:val="24"/>
          <w:szCs w:val="24"/>
          <w:highlight w:val="none"/>
        </w:rPr>
        <w:t>前提交响应文件</w:t>
      </w:r>
      <w:r>
        <w:rPr>
          <w:rFonts w:hint="eastAsia" w:ascii="宋体" w:hAnsi="宋体" w:eastAsia="宋体" w:cs="宋体"/>
          <w:color w:val="auto"/>
          <w:sz w:val="24"/>
          <w:szCs w:val="24"/>
          <w:highlight w:val="none"/>
        </w:rPr>
        <w:t>。</w:t>
      </w:r>
    </w:p>
    <w:p>
      <w:pPr>
        <w:bidi w:val="0"/>
        <w:rPr>
          <w:rFonts w:hint="eastAsia"/>
          <w:b/>
          <w:bCs/>
          <w:color w:val="auto"/>
          <w:highlight w:val="none"/>
        </w:rPr>
      </w:pPr>
      <w:bookmarkStart w:id="5" w:name="_Toc35393629"/>
      <w:bookmarkStart w:id="6" w:name="_Toc35393798"/>
      <w:bookmarkStart w:id="7" w:name="_Toc46761413"/>
      <w:bookmarkStart w:id="8" w:name="_Toc24411"/>
      <w:bookmarkStart w:id="9" w:name="_Toc28359012"/>
      <w:bookmarkStart w:id="10" w:name="_Toc28359089"/>
      <w:r>
        <w:rPr>
          <w:rFonts w:hint="eastAsia"/>
          <w:b/>
          <w:bCs/>
          <w:color w:val="auto"/>
          <w:highlight w:val="none"/>
        </w:rPr>
        <w:t>一、项目基本情况</w:t>
      </w:r>
      <w:bookmarkEnd w:id="5"/>
      <w:bookmarkEnd w:id="6"/>
      <w:bookmarkEnd w:id="7"/>
      <w:bookmarkEnd w:id="8"/>
      <w:bookmarkEnd w:id="9"/>
      <w:bookmarkEnd w:id="10"/>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项目名称：</w:t>
      </w:r>
      <w:r>
        <w:rPr>
          <w:rFonts w:hint="eastAsia" w:ascii="宋体" w:hAnsi="宋体" w:eastAsia="宋体" w:cs="宋体"/>
          <w:color w:val="auto"/>
          <w:sz w:val="24"/>
          <w:szCs w:val="24"/>
          <w:highlight w:val="none"/>
          <w:lang w:val="en-US" w:eastAsia="zh-CN"/>
        </w:rPr>
        <w:t>广西国际博览集团有限公司2019－2023年度重点群体退抵税补贴项目服务采购项目</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采购方式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竞争性</w:t>
      </w:r>
      <w:r>
        <w:rPr>
          <w:rFonts w:hint="eastAsia" w:ascii="宋体" w:hAnsi="宋体" w:eastAsia="宋体" w:cs="宋体"/>
          <w:color w:val="auto"/>
          <w:sz w:val="24"/>
          <w:szCs w:val="24"/>
          <w:highlight w:val="none"/>
        </w:rPr>
        <w:t>磋商</w:t>
      </w:r>
    </w:p>
    <w:p>
      <w:pPr>
        <w:pStyle w:val="17"/>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采购资金来源：</w:t>
      </w:r>
      <w:r>
        <w:rPr>
          <w:rFonts w:hint="eastAsia" w:ascii="宋体" w:hAnsi="宋体" w:eastAsia="宋体" w:cs="宋体"/>
          <w:b w:val="0"/>
          <w:bCs w:val="0"/>
          <w:color w:val="auto"/>
          <w:kern w:val="2"/>
          <w:sz w:val="24"/>
          <w:szCs w:val="24"/>
          <w:highlight w:val="none"/>
          <w:lang w:val="en-US" w:eastAsia="zh-CN" w:bidi="ar-SA"/>
        </w:rPr>
        <w:t>成功获得政府相关部门的退税或税收减免资金或相关部门补贴资金</w:t>
      </w:r>
    </w:p>
    <w:p>
      <w:pPr>
        <w:pStyle w:val="17"/>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预算金额：</w:t>
      </w:r>
      <w:r>
        <w:rPr>
          <w:rFonts w:hint="eastAsia" w:ascii="宋体" w:hAnsi="宋体" w:eastAsia="宋体" w:cs="宋体"/>
          <w:b w:val="0"/>
          <w:bCs w:val="0"/>
          <w:color w:val="auto"/>
          <w:sz w:val="24"/>
          <w:szCs w:val="24"/>
          <w:highlight w:val="none"/>
          <w:lang w:val="en-US" w:eastAsia="zh-CN"/>
        </w:rPr>
        <w:t>政府相关部门的退税或税收减免资金或相关部门补贴资金合计金额</w:t>
      </w:r>
      <w:r>
        <w:rPr>
          <w:rFonts w:hint="eastAsia" w:ascii="宋体" w:hAnsi="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采购需求：</w:t>
      </w:r>
      <w:r>
        <w:rPr>
          <w:rFonts w:hint="eastAsia" w:ascii="宋体" w:hAnsi="宋体" w:eastAsia="宋体" w:cs="宋体"/>
          <w:color w:val="auto"/>
          <w:sz w:val="24"/>
          <w:szCs w:val="24"/>
          <w:highlight w:val="none"/>
          <w:lang w:val="en-US" w:eastAsia="zh-CN"/>
        </w:rPr>
        <w:t>重点群体退抵税补贴项目1项</w:t>
      </w:r>
      <w:r>
        <w:rPr>
          <w:rFonts w:hint="eastAsia" w:ascii="宋体" w:hAnsi="宋体" w:eastAsia="宋体" w:cs="宋体"/>
          <w:color w:val="auto"/>
          <w:sz w:val="24"/>
          <w:szCs w:val="24"/>
          <w:highlight w:val="none"/>
        </w:rPr>
        <w:t>。如需进一步了解详细内容，详见采购文件。</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b/>
          <w:bCs/>
          <w:color w:val="auto"/>
          <w:sz w:val="24"/>
          <w:szCs w:val="24"/>
          <w:highlight w:val="none"/>
        </w:rPr>
        <w:t>合同履行期限：</w:t>
      </w:r>
      <w:r>
        <w:rPr>
          <w:rFonts w:hint="eastAsia" w:ascii="宋体" w:hAnsi="宋体" w:cs="宋体"/>
          <w:color w:val="auto"/>
          <w:sz w:val="24"/>
          <w:szCs w:val="24"/>
          <w:highlight w:val="none"/>
          <w:lang w:val="en-US" w:eastAsia="zh-CN"/>
        </w:rPr>
        <w:t>2023年9月10日-2024年9月9日</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本项目（是/否）接受联合体：</w:t>
      </w:r>
      <w:r>
        <w:rPr>
          <w:rFonts w:hint="eastAsia" w:ascii="宋体" w:hAnsi="宋体" w:eastAsia="宋体" w:cs="宋体"/>
          <w:color w:val="auto"/>
          <w:sz w:val="24"/>
          <w:szCs w:val="24"/>
          <w:highlight w:val="none"/>
        </w:rPr>
        <w:t>不接受。</w:t>
      </w:r>
      <w:bookmarkStart w:id="11" w:name="_Toc35393799"/>
      <w:bookmarkStart w:id="12" w:name="_Toc28359090"/>
      <w:bookmarkStart w:id="13" w:name="_Toc35393630"/>
      <w:bookmarkStart w:id="14" w:name="_Toc28359013"/>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二、申请人的资格要求：</w:t>
      </w:r>
      <w:bookmarkEnd w:id="11"/>
      <w:bookmarkEnd w:id="12"/>
      <w:bookmarkEnd w:id="13"/>
      <w:bookmarkEnd w:id="14"/>
      <w:bookmarkStart w:id="15" w:name="_Toc35393800"/>
      <w:bookmarkStart w:id="16" w:name="_Toc28359014"/>
      <w:bookmarkStart w:id="17" w:name="_Toc28359091"/>
      <w:bookmarkStart w:id="18" w:name="_Toc35393631"/>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1.供应商参加</w:t>
      </w:r>
      <w:r>
        <w:rPr>
          <w:rFonts w:hint="eastAsia" w:ascii="宋体" w:hAnsi="宋体" w:eastAsia="宋体" w:cs="宋体"/>
          <w:color w:val="auto"/>
          <w:sz w:val="24"/>
          <w:szCs w:val="24"/>
          <w:highlight w:val="none"/>
          <w:lang w:eastAsia="zh-CN"/>
        </w:rPr>
        <w:t>本</w:t>
      </w:r>
      <w:r>
        <w:rPr>
          <w:rFonts w:hint="eastAsia" w:ascii="宋体" w:hAnsi="宋体" w:eastAsia="宋体" w:cs="宋体"/>
          <w:color w:val="auto"/>
          <w:sz w:val="24"/>
          <w:szCs w:val="24"/>
          <w:highlight w:val="none"/>
        </w:rPr>
        <w:t>采购活动应当具备下列条件</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（一）具有独立承担民事责任的能力；</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）有依法缴纳税收和社会保障资金的良好记录；</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）参加采购活动前三年内，在经营活动中没有重大违法记录；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 w:val="0"/>
          <w:bCs/>
          <w:i w:val="0"/>
          <w:caps w:val="0"/>
          <w:color w:val="auto"/>
          <w:spacing w:val="0"/>
          <w:w w:val="100"/>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本项目的特定资格要求：</w:t>
      </w:r>
      <w:r>
        <w:rPr>
          <w:rFonts w:hint="eastAsia" w:ascii="宋体" w:hAnsi="宋体" w:cs="宋体"/>
          <w:snapToGrid/>
          <w:color w:val="auto"/>
          <w:kern w:val="2"/>
          <w:sz w:val="24"/>
          <w:szCs w:val="24"/>
          <w:highlight w:val="none"/>
          <w:lang w:val="en-US" w:eastAsia="zh-CN" w:bidi="ar-SA"/>
        </w:rPr>
        <w:t>无</w:t>
      </w:r>
      <w:r>
        <w:rPr>
          <w:rFonts w:hint="eastAsia" w:ascii="宋体" w:hAnsi="宋体" w:eastAsia="宋体" w:cs="宋体"/>
          <w:b w:val="0"/>
          <w:bCs/>
          <w:i w:val="0"/>
          <w:caps w:val="0"/>
          <w:color w:val="auto"/>
          <w:spacing w:val="0"/>
          <w:w w:val="1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.本项目由符合国家有关法律法规规定、同时满足本项目资质要求、在中国境内注册的合格供应商参加磋商。</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.在“信用中国”网站(www.creditchina.gov.cn)、中国政府采购网(www.ccgp.gov.cn)等渠道查询</w:t>
      </w:r>
      <w:r>
        <w:rPr>
          <w:rFonts w:hint="eastAsia" w:ascii="宋体" w:hAnsi="宋体" w:eastAsia="宋体" w:cs="宋体"/>
          <w:color w:val="auto"/>
          <w:sz w:val="24"/>
          <w:szCs w:val="24"/>
          <w:highlight w:val="none"/>
        </w:rPr>
        <w:t>对列入失信被执行人、重大税收违法案件当事人名单、政府采购严重违</w:t>
      </w:r>
      <w:r>
        <w:rPr>
          <w:rFonts w:hint="eastAsia" w:ascii="宋体" w:hAnsi="宋体" w:eastAsia="宋体" w:cs="宋体"/>
          <w:color w:val="auto"/>
          <w:kern w:val="0"/>
          <w:sz w:val="24"/>
          <w:szCs w:val="24"/>
          <w:highlight w:val="none"/>
        </w:rPr>
        <w:t>法失信行为记录名单</w:t>
      </w:r>
      <w:r>
        <w:rPr>
          <w:rFonts w:hint="eastAsia" w:ascii="宋体" w:hAnsi="宋体" w:eastAsia="宋体" w:cs="宋体"/>
          <w:color w:val="auto"/>
          <w:kern w:val="0"/>
          <w:sz w:val="24"/>
          <w:szCs w:val="24"/>
          <w:highlight w:val="none"/>
          <w:lang w:eastAsia="zh-CN"/>
        </w:rPr>
        <w:t>的供应商</w:t>
      </w:r>
      <w:r>
        <w:rPr>
          <w:rFonts w:hint="eastAsia" w:ascii="宋体" w:hAnsi="宋体" w:eastAsia="宋体" w:cs="宋体"/>
          <w:color w:val="auto"/>
          <w:kern w:val="0"/>
          <w:sz w:val="24"/>
          <w:szCs w:val="24"/>
          <w:highlight w:val="none"/>
        </w:rPr>
        <w:t>，应当拒绝其参与</w:t>
      </w:r>
      <w:r>
        <w:rPr>
          <w:rFonts w:hint="eastAsia" w:ascii="宋体" w:hAnsi="宋体" w:eastAsia="宋体" w:cs="宋体"/>
          <w:color w:val="auto"/>
          <w:kern w:val="0"/>
          <w:sz w:val="24"/>
          <w:szCs w:val="24"/>
          <w:highlight w:val="none"/>
          <w:lang w:eastAsia="zh-CN"/>
        </w:rPr>
        <w:t>本次</w:t>
      </w:r>
      <w:r>
        <w:rPr>
          <w:rFonts w:hint="eastAsia" w:ascii="宋体" w:hAnsi="宋体" w:eastAsia="宋体" w:cs="宋体"/>
          <w:color w:val="auto"/>
          <w:kern w:val="0"/>
          <w:sz w:val="24"/>
          <w:szCs w:val="24"/>
          <w:highlight w:val="none"/>
        </w:rPr>
        <w:t>采购活动</w:t>
      </w:r>
      <w:r>
        <w:rPr>
          <w:rFonts w:hint="eastAsia" w:ascii="宋体" w:hAnsi="宋体" w:eastAsia="宋体" w:cs="宋体"/>
          <w:color w:val="auto"/>
          <w:kern w:val="2"/>
          <w:sz w:val="24"/>
          <w:szCs w:val="24"/>
          <w:highlight w:val="none"/>
          <w:lang w:val="en-US" w:eastAsia="zh-CN" w:bidi="ar-SA"/>
        </w:rPr>
        <w:t>。</w:t>
      </w:r>
    </w:p>
    <w:p>
      <w:pPr>
        <w:spacing w:line="360" w:lineRule="auto"/>
        <w:ind w:firstLine="484" w:firstLineChars="202"/>
        <w:rPr>
          <w:rFonts w:hint="eastAsia" w:ascii="宋体" w:hAnsi="宋体" w:eastAsia="宋体" w:cs="宋体"/>
          <w:b w:val="0"/>
          <w:bCs w:val="0"/>
          <w:color w:val="auto"/>
          <w:szCs w:val="21"/>
          <w:highlight w:val="none"/>
          <w:u w:val="none"/>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.单位负责人为同一人或者存在直接控股、管理关系的不同供应商，不得参</w:t>
      </w:r>
      <w:bookmarkEnd w:id="15"/>
      <w:bookmarkEnd w:id="16"/>
      <w:bookmarkEnd w:id="17"/>
      <w:bookmarkEnd w:id="18"/>
      <w:r>
        <w:rPr>
          <w:rFonts w:hint="eastAsia" w:ascii="宋体" w:hAnsi="宋体" w:cs="宋体"/>
          <w:color w:val="auto"/>
          <w:kern w:val="2"/>
          <w:sz w:val="24"/>
          <w:szCs w:val="24"/>
          <w:highlight w:val="none"/>
          <w:lang w:val="en-US" w:eastAsia="zh-CN" w:bidi="ar-SA"/>
        </w:rPr>
        <w:t>加。</w:t>
      </w:r>
    </w:p>
    <w:p>
      <w:pPr>
        <w:spacing w:line="360" w:lineRule="auto"/>
        <w:rPr>
          <w:rFonts w:hint="default" w:ascii="宋体" w:hAnsi="宋体" w:eastAsia="宋体" w:cs="宋体"/>
          <w:b/>
          <w:bCs w:val="0"/>
          <w:color w:val="auto"/>
          <w:szCs w:val="21"/>
          <w:highlight w:val="none"/>
          <w:lang w:val="en-US" w:eastAsia="zh-CN"/>
        </w:rPr>
      </w:pPr>
      <w:bookmarkStart w:id="19" w:name="_Toc35393801"/>
      <w:bookmarkStart w:id="20" w:name="_Toc28359015"/>
      <w:bookmarkStart w:id="21" w:name="_Toc28359092"/>
      <w:bookmarkStart w:id="22" w:name="_Toc35393632"/>
      <w:r>
        <w:rPr>
          <w:rFonts w:hint="eastAsia" w:ascii="宋体" w:hAnsi="宋体" w:cs="宋体"/>
          <w:b/>
          <w:bCs w:val="0"/>
          <w:color w:val="auto"/>
          <w:szCs w:val="21"/>
          <w:highlight w:val="none"/>
          <w:lang w:eastAsia="zh-CN"/>
        </w:rPr>
        <w:t>三</w:t>
      </w:r>
      <w:r>
        <w:rPr>
          <w:rFonts w:hint="eastAsia" w:ascii="宋体" w:hAnsi="宋体" w:eastAsia="宋体" w:cs="宋体"/>
          <w:b/>
          <w:bCs w:val="0"/>
          <w:color w:val="auto"/>
          <w:szCs w:val="21"/>
          <w:highlight w:val="none"/>
        </w:rPr>
        <w:t>、响应文件</w:t>
      </w:r>
      <w:bookmarkEnd w:id="19"/>
      <w:bookmarkEnd w:id="20"/>
      <w:bookmarkEnd w:id="21"/>
      <w:bookmarkEnd w:id="22"/>
      <w:r>
        <w:rPr>
          <w:rFonts w:hint="eastAsia" w:ascii="宋体" w:hAnsi="宋体" w:eastAsia="宋体" w:cs="宋体"/>
          <w:b/>
          <w:bCs w:val="0"/>
          <w:color w:val="auto"/>
          <w:szCs w:val="21"/>
          <w:highlight w:val="none"/>
          <w:lang w:val="en-US" w:eastAsia="zh-CN"/>
        </w:rPr>
        <w:t>递交截止时间、地点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highlight w:val="none"/>
        </w:rPr>
      </w:pPr>
      <w:bookmarkStart w:id="23" w:name="_Toc35393802"/>
      <w:bookmarkStart w:id="24" w:name="_Toc28359093"/>
      <w:bookmarkStart w:id="25" w:name="_Toc35393633"/>
      <w:bookmarkStart w:id="26" w:name="_Toc28359016"/>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应于</w:t>
      </w:r>
      <w:r>
        <w:rPr>
          <w:rFonts w:hint="eastAsia" w:ascii="宋体" w:hAnsi="宋体" w:eastAsia="宋体" w:cs="宋体"/>
          <w:bCs/>
          <w:color w:val="auto"/>
          <w:sz w:val="24"/>
          <w:szCs w:val="24"/>
          <w:highlight w:val="none"/>
          <w:u w:val="single"/>
        </w:rPr>
        <w:t>202</w:t>
      </w:r>
      <w:r>
        <w:rPr>
          <w:rFonts w:hint="eastAsia" w:ascii="宋体" w:hAnsi="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18</w:t>
      </w:r>
      <w:r>
        <w:rPr>
          <w:rFonts w:hint="eastAsia" w:ascii="宋体" w:hAnsi="宋体" w:eastAsia="宋体" w:cs="宋体"/>
          <w:bCs/>
          <w:color w:val="auto"/>
          <w:sz w:val="24"/>
          <w:szCs w:val="24"/>
          <w:highlight w:val="none"/>
          <w:u w:val="single"/>
        </w:rPr>
        <w:t>点00分00秒</w:t>
      </w:r>
      <w:r>
        <w:rPr>
          <w:rFonts w:hint="eastAsia" w:ascii="宋体" w:hAnsi="宋体" w:eastAsia="宋体" w:cs="宋体"/>
          <w:bCs/>
          <w:color w:val="auto"/>
          <w:sz w:val="24"/>
          <w:szCs w:val="24"/>
          <w:highlight w:val="none"/>
          <w:u w:val="none"/>
        </w:rPr>
        <w:t>(北京时间)</w:t>
      </w:r>
      <w:r>
        <w:rPr>
          <w:rFonts w:hint="eastAsia" w:ascii="宋体" w:hAnsi="宋体" w:eastAsia="宋体" w:cs="宋体"/>
          <w:bCs/>
          <w:color w:val="auto"/>
          <w:sz w:val="24"/>
          <w:szCs w:val="24"/>
          <w:highlight w:val="none"/>
        </w:rPr>
        <w:t>前</w:t>
      </w:r>
      <w:r>
        <w:rPr>
          <w:rFonts w:hint="eastAsia" w:ascii="宋体" w:hAnsi="宋体" w:eastAsia="宋体" w:cs="宋体"/>
          <w:color w:val="auto"/>
          <w:highlight w:val="none"/>
        </w:rPr>
        <w:t>将</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密封送交到</w:t>
      </w:r>
      <w:r>
        <w:rPr>
          <w:rFonts w:hint="eastAsia" w:ascii="宋体" w:hAnsi="宋体" w:eastAsia="宋体" w:cs="宋体"/>
          <w:color w:val="auto"/>
          <w:sz w:val="24"/>
          <w:szCs w:val="24"/>
          <w:highlight w:val="none"/>
          <w:lang w:val="en-US" w:eastAsia="zh-CN"/>
        </w:rPr>
        <w:t>广西国际博览集团有限</w:t>
      </w:r>
      <w:r>
        <w:rPr>
          <w:rFonts w:hint="eastAsia" w:ascii="宋体" w:hAnsi="宋体" w:eastAsia="宋体" w:cs="宋体"/>
          <w:color w:val="auto"/>
          <w:sz w:val="24"/>
          <w:szCs w:val="24"/>
          <w:highlight w:val="none"/>
          <w:lang w:eastAsia="zh-CN"/>
        </w:rPr>
        <w:t>公司</w:t>
      </w:r>
      <w:r>
        <w:rPr>
          <w:rFonts w:hint="eastAsia" w:ascii="宋体" w:hAnsi="宋体" w:cs="宋体"/>
          <w:color w:val="auto"/>
          <w:sz w:val="24"/>
          <w:szCs w:val="24"/>
          <w:highlight w:val="none"/>
          <w:lang w:eastAsia="zh-CN"/>
        </w:rPr>
        <w:t>人力资源部</w:t>
      </w:r>
      <w:r>
        <w:rPr>
          <w:rFonts w:hint="eastAsia" w:ascii="宋体" w:hAnsi="宋体" w:eastAsia="宋体" w:cs="宋体"/>
          <w:color w:val="auto"/>
          <w:highlight w:val="none"/>
        </w:rPr>
        <w:t>（南宁市青秀区</w:t>
      </w:r>
      <w:r>
        <w:rPr>
          <w:rFonts w:hint="eastAsia" w:ascii="宋体" w:hAnsi="宋体" w:cs="宋体"/>
          <w:color w:val="auto"/>
          <w:highlight w:val="none"/>
          <w:lang w:val="en-US" w:eastAsia="zh-CN"/>
        </w:rPr>
        <w:t>民族大道106号朱槿花厅3楼309办公室</w:t>
      </w:r>
      <w:r>
        <w:rPr>
          <w:rFonts w:hint="eastAsia" w:ascii="宋体" w:hAnsi="宋体" w:eastAsia="宋体" w:cs="宋体"/>
          <w:color w:val="auto"/>
          <w:highlight w:val="none"/>
        </w:rPr>
        <w:t>），逾期送达或未密封将予以拒收（或作无效</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处理）。</w:t>
      </w:r>
    </w:p>
    <w:p>
      <w:pPr>
        <w:spacing w:line="360" w:lineRule="auto"/>
        <w:rPr>
          <w:rFonts w:hint="default" w:ascii="宋体" w:hAnsi="宋体" w:eastAsia="宋体" w:cs="宋体"/>
          <w:b/>
          <w:bCs w:val="0"/>
          <w:color w:val="auto"/>
          <w:szCs w:val="21"/>
          <w:highlight w:val="none"/>
          <w:u w:val="single"/>
          <w:lang w:val="en-US" w:eastAsia="zh-CN"/>
        </w:rPr>
      </w:pPr>
      <w:r>
        <w:rPr>
          <w:rFonts w:hint="eastAsia" w:ascii="宋体" w:hAnsi="宋体" w:cs="宋体"/>
          <w:b/>
          <w:bCs w:val="0"/>
          <w:color w:val="auto"/>
          <w:szCs w:val="21"/>
          <w:highlight w:val="none"/>
          <w:lang w:eastAsia="zh-CN"/>
        </w:rPr>
        <w:t>四</w:t>
      </w:r>
      <w:r>
        <w:rPr>
          <w:rFonts w:hint="eastAsia" w:ascii="宋体" w:hAnsi="宋体" w:eastAsia="宋体" w:cs="宋体"/>
          <w:b/>
          <w:bCs w:val="0"/>
          <w:color w:val="auto"/>
          <w:szCs w:val="21"/>
          <w:highlight w:val="none"/>
        </w:rPr>
        <w:t>、</w:t>
      </w:r>
      <w:r>
        <w:rPr>
          <w:rFonts w:hint="eastAsia" w:ascii="宋体" w:hAnsi="宋体" w:eastAsia="宋体" w:cs="宋体"/>
          <w:b/>
          <w:bCs w:val="0"/>
          <w:color w:val="auto"/>
          <w:szCs w:val="21"/>
          <w:highlight w:val="none"/>
          <w:lang w:val="en-US" w:eastAsia="zh-CN"/>
        </w:rPr>
        <w:t>响应文件</w:t>
      </w:r>
      <w:r>
        <w:rPr>
          <w:rFonts w:hint="eastAsia" w:ascii="宋体" w:hAnsi="宋体" w:eastAsia="宋体" w:cs="宋体"/>
          <w:b/>
          <w:bCs w:val="0"/>
          <w:color w:val="auto"/>
          <w:szCs w:val="21"/>
          <w:highlight w:val="none"/>
        </w:rPr>
        <w:t>开启</w:t>
      </w:r>
      <w:bookmarkEnd w:id="23"/>
      <w:bookmarkEnd w:id="24"/>
      <w:bookmarkEnd w:id="25"/>
      <w:bookmarkEnd w:id="26"/>
      <w:r>
        <w:rPr>
          <w:rFonts w:hint="eastAsia" w:ascii="宋体" w:hAnsi="宋体" w:eastAsia="宋体" w:cs="宋体"/>
          <w:b/>
          <w:bCs w:val="0"/>
          <w:color w:val="auto"/>
          <w:szCs w:val="21"/>
          <w:highlight w:val="none"/>
          <w:lang w:val="en-US" w:eastAsia="zh-CN"/>
        </w:rPr>
        <w:t>时间、地点</w:t>
      </w:r>
    </w:p>
    <w:p>
      <w:pPr>
        <w:spacing w:line="360" w:lineRule="auto"/>
        <w:ind w:firstLine="48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时间：</w:t>
      </w:r>
      <w:r>
        <w:rPr>
          <w:rFonts w:hint="eastAsia" w:ascii="宋体" w:hAnsi="宋体" w:eastAsia="宋体" w:cs="宋体"/>
          <w:bCs/>
          <w:color w:val="auto"/>
          <w:sz w:val="24"/>
          <w:szCs w:val="24"/>
          <w:highlight w:val="none"/>
          <w:u w:val="single"/>
        </w:rPr>
        <w:t>202</w:t>
      </w:r>
      <w:r>
        <w:rPr>
          <w:rFonts w:hint="eastAsia" w:ascii="宋体" w:hAnsi="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6</w:t>
      </w:r>
      <w:r>
        <w:rPr>
          <w:rFonts w:hint="eastAsia" w:ascii="宋体" w:hAnsi="宋体" w:eastAsia="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10</w:t>
      </w:r>
      <w:r>
        <w:rPr>
          <w:rFonts w:hint="eastAsia" w:ascii="宋体" w:hAnsi="宋体" w:eastAsia="宋体" w:cs="宋体"/>
          <w:bCs/>
          <w:color w:val="auto"/>
          <w:sz w:val="24"/>
          <w:szCs w:val="24"/>
          <w:highlight w:val="none"/>
          <w:u w:val="single"/>
        </w:rPr>
        <w:t>点00分</w:t>
      </w:r>
      <w:r>
        <w:rPr>
          <w:rFonts w:hint="eastAsia" w:ascii="宋体" w:hAnsi="宋体" w:eastAsia="宋体" w:cs="宋体"/>
          <w:bCs/>
          <w:color w:val="auto"/>
          <w:szCs w:val="21"/>
          <w:highlight w:val="none"/>
        </w:rPr>
        <w:t>（北京时间）</w:t>
      </w:r>
    </w:p>
    <w:p>
      <w:pPr>
        <w:spacing w:line="360" w:lineRule="auto"/>
        <w:ind w:firstLine="480" w:firstLineChars="200"/>
        <w:rPr>
          <w:rFonts w:hint="default" w:ascii="宋体" w:hAnsi="宋体" w:eastAsia="宋体" w:cs="宋体"/>
          <w:color w:val="auto"/>
          <w:highlight w:val="none"/>
          <w:lang w:val="en-US" w:eastAsia="zh-CN"/>
        </w:rPr>
      </w:pPr>
      <w:r>
        <w:rPr>
          <w:rFonts w:hint="eastAsia" w:ascii="宋体" w:hAnsi="宋体" w:eastAsia="宋体" w:cs="宋体"/>
          <w:bCs/>
          <w:color w:val="auto"/>
          <w:szCs w:val="21"/>
          <w:highlight w:val="none"/>
          <w:lang w:val="en-US" w:eastAsia="zh-CN"/>
        </w:rPr>
        <w:t>2、</w:t>
      </w:r>
      <w:r>
        <w:rPr>
          <w:rFonts w:hint="eastAsia" w:ascii="宋体" w:hAnsi="宋体" w:eastAsia="宋体" w:cs="宋体"/>
          <w:color w:val="auto"/>
          <w:szCs w:val="21"/>
          <w:highlight w:val="none"/>
        </w:rPr>
        <w:t>地点：</w:t>
      </w:r>
      <w:bookmarkStart w:id="27" w:name="_Toc28359094"/>
      <w:bookmarkStart w:id="28" w:name="_Toc28359017"/>
      <w:bookmarkStart w:id="29" w:name="_Toc35393634"/>
      <w:bookmarkStart w:id="30" w:name="_Toc35393803"/>
      <w:r>
        <w:rPr>
          <w:rFonts w:hint="eastAsia" w:ascii="宋体" w:hAnsi="宋体" w:eastAsia="宋体" w:cs="宋体"/>
          <w:color w:val="auto"/>
          <w:sz w:val="24"/>
          <w:szCs w:val="24"/>
          <w:highlight w:val="none"/>
          <w:lang w:val="en-US" w:eastAsia="zh-CN"/>
        </w:rPr>
        <w:t>广西国际博览集团有限</w:t>
      </w:r>
      <w:r>
        <w:rPr>
          <w:rFonts w:hint="eastAsia" w:ascii="宋体" w:hAnsi="宋体" w:eastAsia="宋体" w:cs="宋体"/>
          <w:color w:val="auto"/>
          <w:sz w:val="24"/>
          <w:szCs w:val="24"/>
          <w:highlight w:val="none"/>
          <w:lang w:eastAsia="zh-CN"/>
        </w:rPr>
        <w:t>公司</w:t>
      </w:r>
      <w:r>
        <w:rPr>
          <w:rFonts w:hint="eastAsia" w:ascii="宋体" w:hAnsi="宋体" w:cs="宋体"/>
          <w:color w:val="auto"/>
          <w:sz w:val="24"/>
          <w:szCs w:val="24"/>
          <w:highlight w:val="none"/>
          <w:lang w:eastAsia="zh-CN"/>
        </w:rPr>
        <w:t>人力资源部</w:t>
      </w:r>
      <w:r>
        <w:rPr>
          <w:rFonts w:hint="eastAsia" w:ascii="宋体" w:hAnsi="宋体" w:eastAsia="宋体" w:cs="宋体"/>
          <w:color w:val="auto"/>
          <w:highlight w:val="none"/>
        </w:rPr>
        <w:t>（南宁市青秀区</w:t>
      </w:r>
      <w:r>
        <w:rPr>
          <w:rFonts w:hint="eastAsia" w:ascii="宋体" w:hAnsi="宋体" w:cs="宋体"/>
          <w:color w:val="auto"/>
          <w:highlight w:val="none"/>
          <w:lang w:val="en-US" w:eastAsia="zh-CN"/>
        </w:rPr>
        <w:t>民族大道106号朱槿花厅3楼309办公室</w:t>
      </w:r>
      <w:r>
        <w:rPr>
          <w:rFonts w:hint="eastAsia" w:ascii="宋体" w:hAnsi="宋体" w:eastAsia="宋体" w:cs="宋体"/>
          <w:color w:val="auto"/>
          <w:highlight w:val="none"/>
        </w:rPr>
        <w:t>）</w:t>
      </w:r>
    </w:p>
    <w:p>
      <w:pPr>
        <w:spacing w:line="360" w:lineRule="auto"/>
        <w:rPr>
          <w:rFonts w:hint="default" w:ascii="宋体" w:hAnsi="宋体" w:eastAsia="宋体" w:cs="宋体"/>
          <w:b/>
          <w:bCs w:val="0"/>
          <w:color w:val="auto"/>
          <w:szCs w:val="21"/>
          <w:highlight w:val="none"/>
          <w:u w:val="single"/>
          <w:lang w:val="en-US" w:eastAsia="zh-CN"/>
        </w:rPr>
      </w:pPr>
      <w:r>
        <w:rPr>
          <w:rFonts w:hint="eastAsia" w:ascii="宋体" w:hAnsi="宋体" w:cs="宋体"/>
          <w:b/>
          <w:bCs w:val="0"/>
          <w:color w:val="auto"/>
          <w:szCs w:val="21"/>
          <w:highlight w:val="none"/>
          <w:lang w:eastAsia="zh-CN"/>
        </w:rPr>
        <w:t>五</w:t>
      </w:r>
      <w:r>
        <w:rPr>
          <w:rFonts w:hint="eastAsia" w:ascii="宋体" w:hAnsi="宋体" w:eastAsia="宋体" w:cs="宋体"/>
          <w:b/>
          <w:bCs w:val="0"/>
          <w:color w:val="auto"/>
          <w:szCs w:val="21"/>
          <w:highlight w:val="none"/>
        </w:rPr>
        <w:t>、</w:t>
      </w:r>
      <w:r>
        <w:rPr>
          <w:rFonts w:hint="eastAsia" w:ascii="宋体" w:hAnsi="宋体" w:eastAsia="宋体" w:cs="宋体"/>
          <w:b/>
          <w:bCs w:val="0"/>
          <w:color w:val="auto"/>
          <w:szCs w:val="21"/>
          <w:highlight w:val="none"/>
          <w:lang w:val="en-US" w:eastAsia="zh-CN"/>
        </w:rPr>
        <w:t>竞标保证金</w:t>
      </w:r>
    </w:p>
    <w:p>
      <w:pPr>
        <w:pStyle w:val="17"/>
        <w:keepNext w:val="0"/>
        <w:keepLines w:val="0"/>
        <w:pageBreakBefore w:val="0"/>
        <w:widowControl w:val="0"/>
        <w:kinsoku/>
        <w:wordWrap/>
        <w:overflowPunct/>
        <w:topLinePunct w:val="0"/>
        <w:autoSpaceDE/>
        <w:autoSpaceDN/>
        <w:bidi w:val="0"/>
        <w:adjustRightInd/>
        <w:snapToGrid/>
        <w:spacing w:after="0"/>
        <w:textAlignment w:val="auto"/>
        <w:rPr>
          <w:rFonts w:hint="eastAsia"/>
          <w:color w:val="auto"/>
          <w:highlight w:val="none"/>
          <w:lang w:val="en-US" w:eastAsia="zh-CN"/>
        </w:rPr>
      </w:pPr>
      <w:r>
        <w:rPr>
          <w:rFonts w:hint="eastAsia"/>
          <w:color w:val="auto"/>
          <w:highlight w:val="none"/>
          <w:lang w:val="en-US" w:eastAsia="zh-CN"/>
        </w:rPr>
        <w:t>本项目无竞标保证金</w:t>
      </w:r>
    </w:p>
    <w:p>
      <w:pPr>
        <w:pStyle w:val="17"/>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b/>
          <w:bCs w:val="0"/>
          <w:color w:val="auto"/>
          <w:szCs w:val="21"/>
          <w:highlight w:val="none"/>
          <w:u w:val="single"/>
        </w:rPr>
      </w:pPr>
      <w:r>
        <w:rPr>
          <w:rFonts w:hint="eastAsia" w:ascii="宋体" w:hAnsi="宋体" w:cs="宋体"/>
          <w:b/>
          <w:bCs w:val="0"/>
          <w:color w:val="auto"/>
          <w:szCs w:val="21"/>
          <w:highlight w:val="none"/>
          <w:lang w:eastAsia="zh-CN"/>
        </w:rPr>
        <w:t>六</w:t>
      </w:r>
      <w:r>
        <w:rPr>
          <w:rFonts w:hint="eastAsia" w:ascii="宋体" w:hAnsi="宋体" w:eastAsia="宋体" w:cs="宋体"/>
          <w:b/>
          <w:bCs w:val="0"/>
          <w:color w:val="auto"/>
          <w:szCs w:val="21"/>
          <w:highlight w:val="none"/>
        </w:rPr>
        <w:t>、公告期限</w:t>
      </w:r>
      <w:bookmarkEnd w:id="27"/>
      <w:bookmarkEnd w:id="28"/>
      <w:bookmarkEnd w:id="29"/>
      <w:bookmarkEnd w:id="3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自本公告发布之日起3个工作日</w:t>
      </w:r>
      <w:bookmarkStart w:id="31" w:name="_Toc35393635"/>
      <w:bookmarkStart w:id="32" w:name="_Toc35393804"/>
    </w:p>
    <w:p>
      <w:pPr>
        <w:spacing w:line="360" w:lineRule="auto"/>
        <w:rPr>
          <w:rFonts w:hint="eastAsia" w:ascii="宋体" w:hAnsi="宋体" w:eastAsia="宋体" w:cs="宋体"/>
          <w:b/>
          <w:bCs w:val="0"/>
          <w:color w:val="auto"/>
          <w:kern w:val="0"/>
          <w:szCs w:val="21"/>
          <w:highlight w:val="none"/>
        </w:rPr>
      </w:pPr>
      <w:r>
        <w:rPr>
          <w:rFonts w:hint="eastAsia" w:ascii="宋体" w:hAnsi="宋体" w:cs="宋体"/>
          <w:b/>
          <w:bCs w:val="0"/>
          <w:color w:val="auto"/>
          <w:szCs w:val="21"/>
          <w:highlight w:val="none"/>
          <w:lang w:eastAsia="zh-CN"/>
        </w:rPr>
        <w:t>七</w:t>
      </w:r>
      <w:r>
        <w:rPr>
          <w:rFonts w:hint="eastAsia" w:ascii="宋体" w:hAnsi="宋体" w:eastAsia="宋体" w:cs="宋体"/>
          <w:b/>
          <w:bCs w:val="0"/>
          <w:color w:val="auto"/>
          <w:szCs w:val="21"/>
          <w:highlight w:val="none"/>
        </w:rPr>
        <w:t>、其他补充事宜</w:t>
      </w:r>
      <w:bookmarkEnd w:id="31"/>
      <w:bookmarkEnd w:id="32"/>
      <w:r>
        <w:rPr>
          <w:rFonts w:hint="eastAsia" w:ascii="宋体" w:hAnsi="宋体" w:eastAsia="宋体" w:cs="宋体"/>
          <w:b/>
          <w:bCs w:val="0"/>
          <w:color w:val="auto"/>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磋商时间及地点：于</w:t>
      </w:r>
      <w:r>
        <w:rPr>
          <w:rFonts w:hint="eastAsia" w:ascii="宋体" w:hAnsi="宋体" w:eastAsia="宋体" w:cs="宋体"/>
          <w:bCs/>
          <w:color w:val="auto"/>
          <w:sz w:val="24"/>
          <w:szCs w:val="24"/>
          <w:highlight w:val="none"/>
          <w:u w:val="single"/>
        </w:rPr>
        <w:t>202</w:t>
      </w:r>
      <w:r>
        <w:rPr>
          <w:rFonts w:hint="eastAsia" w:ascii="宋体" w:hAnsi="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18</w:t>
      </w:r>
      <w:r>
        <w:rPr>
          <w:rFonts w:hint="eastAsia" w:ascii="宋体" w:hAnsi="宋体" w:eastAsia="宋体" w:cs="宋体"/>
          <w:bCs/>
          <w:color w:val="auto"/>
          <w:sz w:val="24"/>
          <w:szCs w:val="24"/>
          <w:highlight w:val="none"/>
          <w:u w:val="single"/>
        </w:rPr>
        <w:t>点00分</w:t>
      </w:r>
      <w:r>
        <w:rPr>
          <w:rFonts w:hint="eastAsia" w:ascii="宋体" w:hAnsi="宋体" w:eastAsia="宋体" w:cs="宋体"/>
          <w:color w:val="auto"/>
          <w:szCs w:val="21"/>
          <w:highlight w:val="none"/>
        </w:rPr>
        <w:t>截标后为磋商小组与供应商磋商时间，具体时间由采购</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另行通知。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2.磋商地点：</w:t>
      </w:r>
      <w:r>
        <w:rPr>
          <w:rFonts w:hint="eastAsia" w:ascii="宋体" w:hAnsi="宋体" w:eastAsia="宋体" w:cs="宋体"/>
          <w:color w:val="auto"/>
          <w:sz w:val="24"/>
          <w:szCs w:val="24"/>
          <w:highlight w:val="none"/>
          <w:lang w:val="en-US" w:eastAsia="zh-CN"/>
        </w:rPr>
        <w:t>广西国际博览集团有限</w:t>
      </w:r>
      <w:r>
        <w:rPr>
          <w:rFonts w:hint="eastAsia" w:ascii="宋体" w:hAnsi="宋体" w:eastAsia="宋体" w:cs="宋体"/>
          <w:color w:val="auto"/>
          <w:sz w:val="24"/>
          <w:szCs w:val="24"/>
          <w:highlight w:val="none"/>
          <w:lang w:eastAsia="zh-CN"/>
        </w:rPr>
        <w:t>公司</w:t>
      </w:r>
      <w:r>
        <w:rPr>
          <w:rFonts w:hint="eastAsia" w:ascii="宋体" w:hAnsi="宋体" w:cs="宋体"/>
          <w:color w:val="auto"/>
          <w:sz w:val="24"/>
          <w:szCs w:val="24"/>
          <w:highlight w:val="none"/>
          <w:lang w:eastAsia="zh-CN"/>
        </w:rPr>
        <w:t>人力资源部</w:t>
      </w:r>
      <w:r>
        <w:rPr>
          <w:rFonts w:hint="eastAsia" w:ascii="宋体" w:hAnsi="宋体" w:eastAsia="宋体" w:cs="宋体"/>
          <w:color w:val="auto"/>
          <w:highlight w:val="none"/>
        </w:rPr>
        <w:t>（南宁市青秀区</w:t>
      </w:r>
      <w:r>
        <w:rPr>
          <w:rFonts w:hint="eastAsia" w:ascii="宋体" w:hAnsi="宋体" w:cs="宋体"/>
          <w:color w:val="auto"/>
          <w:highlight w:val="none"/>
          <w:lang w:val="en-US" w:eastAsia="zh-CN"/>
        </w:rPr>
        <w:t>民族大道106号朱槿花厅3楼322办公室</w:t>
      </w:r>
      <w:r>
        <w:rPr>
          <w:rFonts w:hint="eastAsia" w:ascii="宋体" w:hAnsi="宋体" w:eastAsia="宋体" w:cs="宋体"/>
          <w:color w:val="auto"/>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参加磋商的</w:t>
      </w:r>
      <w:r>
        <w:rPr>
          <w:rFonts w:hint="eastAsia" w:ascii="宋体" w:hAnsi="宋体" w:eastAsia="宋体" w:cs="宋体"/>
          <w:color w:val="auto"/>
          <w:szCs w:val="21"/>
          <w:highlight w:val="none"/>
          <w:lang w:eastAsia="zh-CN"/>
        </w:rPr>
        <w:t>法定代表人（负责人）</w:t>
      </w:r>
      <w:r>
        <w:rPr>
          <w:rFonts w:hint="eastAsia" w:ascii="宋体" w:hAnsi="宋体" w:eastAsia="宋体" w:cs="宋体"/>
          <w:color w:val="auto"/>
          <w:szCs w:val="21"/>
          <w:highlight w:val="none"/>
        </w:rPr>
        <w:t>或委托代理人必须持证件（</w:t>
      </w:r>
      <w:r>
        <w:rPr>
          <w:rFonts w:hint="eastAsia" w:ascii="宋体" w:hAnsi="宋体" w:eastAsia="宋体" w:cs="宋体"/>
          <w:color w:val="auto"/>
          <w:szCs w:val="21"/>
          <w:highlight w:val="none"/>
          <w:lang w:eastAsia="zh-CN"/>
        </w:rPr>
        <w:t>法定代表人（负责人）</w:t>
      </w:r>
      <w:r>
        <w:rPr>
          <w:rFonts w:hint="eastAsia" w:ascii="宋体" w:hAnsi="宋体" w:eastAsia="宋体" w:cs="宋体"/>
          <w:color w:val="auto"/>
          <w:szCs w:val="21"/>
          <w:highlight w:val="none"/>
        </w:rPr>
        <w:t>凭资格证书和身份证或委托代理人凭法人授权委托书原件或复印件和身份证原件）依时到达指定地点等候当面磋商。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公告媒体：</w:t>
      </w:r>
      <w:r>
        <w:rPr>
          <w:rFonts w:hint="eastAsia" w:ascii="宋体" w:hAnsi="宋体" w:cs="宋体"/>
          <w:color w:val="auto"/>
          <w:szCs w:val="21"/>
          <w:highlight w:val="none"/>
          <w:lang w:eastAsia="zh-CN"/>
        </w:rPr>
        <w:t>在</w:t>
      </w:r>
      <w:r>
        <w:rPr>
          <w:rFonts w:hint="eastAsia" w:ascii="宋体" w:hAnsi="宋体" w:eastAsia="宋体" w:cs="宋体"/>
          <w:color w:val="auto"/>
          <w:sz w:val="24"/>
          <w:szCs w:val="24"/>
          <w:highlight w:val="none"/>
          <w:lang w:val="en-US" w:eastAsia="zh-CN"/>
        </w:rPr>
        <w:t>广西国际博览集团有限</w:t>
      </w:r>
      <w:r>
        <w:rPr>
          <w:rFonts w:hint="eastAsia" w:ascii="宋体" w:hAnsi="宋体" w:eastAsia="宋体" w:cs="宋体"/>
          <w:color w:val="auto"/>
          <w:sz w:val="24"/>
          <w:szCs w:val="24"/>
          <w:highlight w:val="none"/>
          <w:lang w:eastAsia="zh-CN"/>
        </w:rPr>
        <w:t>公司</w:t>
      </w:r>
      <w:r>
        <w:rPr>
          <w:rFonts w:hint="eastAsia" w:ascii="宋体" w:hAnsi="宋体" w:eastAsia="宋体" w:cs="宋体"/>
          <w:b w:val="0"/>
          <w:i w:val="0"/>
          <w:caps w:val="0"/>
          <w:color w:val="auto"/>
          <w:spacing w:val="0"/>
          <w:w w:val="100"/>
          <w:sz w:val="24"/>
          <w:szCs w:val="24"/>
          <w:highlight w:val="none"/>
          <w:u w:val="single" w:color="000000"/>
          <w:lang w:val="en-US" w:eastAsia="zh-CN"/>
        </w:rPr>
        <w:t>（www.</w:t>
      </w:r>
      <w:r>
        <w:rPr>
          <w:rFonts w:hint="eastAsia" w:ascii="宋体" w:hAnsi="宋体" w:cs="宋体"/>
          <w:b w:val="0"/>
          <w:i w:val="0"/>
          <w:caps w:val="0"/>
          <w:color w:val="auto"/>
          <w:spacing w:val="0"/>
          <w:w w:val="100"/>
          <w:sz w:val="24"/>
          <w:szCs w:val="24"/>
          <w:highlight w:val="none"/>
          <w:u w:val="single" w:color="000000"/>
          <w:lang w:val="en-US" w:eastAsia="zh-CN"/>
        </w:rPr>
        <w:t>gxexpogp</w:t>
      </w:r>
      <w:r>
        <w:rPr>
          <w:rFonts w:hint="eastAsia" w:ascii="宋体" w:hAnsi="宋体" w:eastAsia="宋体" w:cs="宋体"/>
          <w:b w:val="0"/>
          <w:i w:val="0"/>
          <w:caps w:val="0"/>
          <w:color w:val="auto"/>
          <w:spacing w:val="0"/>
          <w:w w:val="100"/>
          <w:sz w:val="24"/>
          <w:szCs w:val="24"/>
          <w:highlight w:val="none"/>
          <w:u w:val="single" w:color="000000"/>
          <w:lang w:val="en-US" w:eastAsia="zh-CN"/>
        </w:rPr>
        <w:t>.cn/）</w:t>
      </w:r>
      <w:r>
        <w:rPr>
          <w:rFonts w:hint="eastAsia" w:ascii="宋体" w:hAnsi="宋体" w:eastAsia="宋体" w:cs="宋体"/>
          <w:b w:val="0"/>
          <w:bCs w:val="0"/>
          <w:color w:val="auto"/>
          <w:sz w:val="24"/>
          <w:szCs w:val="24"/>
          <w:highlight w:val="none"/>
          <w:lang w:eastAsia="zh-CN"/>
        </w:rPr>
        <w:t>等</w:t>
      </w:r>
      <w:r>
        <w:rPr>
          <w:rFonts w:hint="eastAsia" w:ascii="宋体" w:hAnsi="宋体" w:eastAsia="宋体" w:cs="宋体"/>
          <w:b w:val="0"/>
          <w:bCs w:val="0"/>
          <w:color w:val="auto"/>
          <w:sz w:val="24"/>
          <w:szCs w:val="24"/>
          <w:highlight w:val="none"/>
        </w:rPr>
        <w:t>渠道公布</w:t>
      </w:r>
      <w:r>
        <w:rPr>
          <w:rFonts w:hint="eastAsia" w:ascii="宋体" w:hAnsi="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highlight w:val="none"/>
          <w:lang w:eastAsia="zh-CN"/>
        </w:rPr>
      </w:pPr>
      <w:bookmarkStart w:id="33" w:name="_Toc46761414"/>
      <w:bookmarkStart w:id="34" w:name="_Toc35393636"/>
      <w:bookmarkStart w:id="35" w:name="_Toc28359095"/>
      <w:bookmarkStart w:id="36" w:name="_Toc13006"/>
      <w:bookmarkStart w:id="37" w:name="_Toc28359018"/>
      <w:bookmarkStart w:id="38" w:name="_Toc35393805"/>
      <w:r>
        <w:rPr>
          <w:rFonts w:hint="eastAsia" w:ascii="宋体" w:hAnsi="宋体" w:cs="宋体"/>
          <w:b/>
          <w:bCs/>
          <w:color w:val="auto"/>
          <w:highlight w:val="none"/>
          <w:lang w:val="en-US" w:eastAsia="zh-CN"/>
        </w:rPr>
        <w:t>八</w:t>
      </w:r>
      <w:r>
        <w:rPr>
          <w:rFonts w:hint="eastAsia" w:ascii="宋体" w:hAnsi="宋体" w:eastAsia="宋体" w:cs="宋体"/>
          <w:b/>
          <w:bCs/>
          <w:color w:val="auto"/>
          <w:highlight w:val="none"/>
        </w:rPr>
        <w:t>、</w:t>
      </w:r>
      <w:bookmarkEnd w:id="33"/>
      <w:bookmarkEnd w:id="34"/>
      <w:bookmarkEnd w:id="35"/>
      <w:bookmarkEnd w:id="36"/>
      <w:bookmarkEnd w:id="37"/>
      <w:bookmarkEnd w:id="38"/>
      <w:r>
        <w:rPr>
          <w:rFonts w:hint="eastAsia" w:ascii="宋体" w:hAnsi="宋体" w:cs="宋体"/>
          <w:b/>
          <w:bCs/>
          <w:color w:val="auto"/>
          <w:highlight w:val="none"/>
          <w:lang w:val="en-US" w:eastAsia="zh-CN"/>
        </w:rPr>
        <w:t>业务咨询</w:t>
      </w:r>
    </w:p>
    <w:p>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w:t>
      </w:r>
      <w:r>
        <w:rPr>
          <w:rFonts w:hint="eastAsia" w:ascii="宋体" w:hAnsi="宋体" w:eastAsia="宋体" w:cs="宋体"/>
          <w:color w:val="auto"/>
          <w:sz w:val="24"/>
          <w:szCs w:val="24"/>
          <w:highlight w:val="none"/>
          <w:lang w:val="en-US" w:eastAsia="zh-CN"/>
        </w:rPr>
        <w:t>广西国际博览集团有限</w:t>
      </w:r>
      <w:r>
        <w:rPr>
          <w:rFonts w:hint="eastAsia" w:ascii="宋体" w:hAnsi="宋体" w:eastAsia="宋体" w:cs="宋体"/>
          <w:color w:val="auto"/>
          <w:sz w:val="24"/>
          <w:szCs w:val="24"/>
          <w:highlight w:val="none"/>
          <w:lang w:eastAsia="zh-CN"/>
        </w:rPr>
        <w:t>公司</w:t>
      </w:r>
      <w:r>
        <w:rPr>
          <w:rFonts w:hint="eastAsia" w:ascii="宋体" w:hAnsi="宋体" w:eastAsia="宋体" w:cs="宋体"/>
          <w:color w:val="auto"/>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地    址：</w:t>
      </w:r>
      <w:r>
        <w:rPr>
          <w:rFonts w:hint="eastAsia" w:ascii="宋体" w:hAnsi="宋体" w:eastAsia="宋体" w:cs="宋体"/>
          <w:color w:val="auto"/>
          <w:sz w:val="24"/>
          <w:szCs w:val="24"/>
          <w:highlight w:val="none"/>
          <w:lang w:val="en-US" w:eastAsia="zh-CN"/>
        </w:rPr>
        <w:t>广西国际博览集团有限</w:t>
      </w:r>
      <w:r>
        <w:rPr>
          <w:rFonts w:hint="eastAsia" w:ascii="宋体" w:hAnsi="宋体" w:eastAsia="宋体" w:cs="宋体"/>
          <w:color w:val="auto"/>
          <w:sz w:val="24"/>
          <w:szCs w:val="24"/>
          <w:highlight w:val="none"/>
          <w:lang w:eastAsia="zh-CN"/>
        </w:rPr>
        <w:t>公司</w:t>
      </w:r>
      <w:r>
        <w:rPr>
          <w:rFonts w:hint="eastAsia" w:ascii="宋体" w:hAnsi="宋体" w:cs="宋体"/>
          <w:color w:val="auto"/>
          <w:sz w:val="24"/>
          <w:szCs w:val="24"/>
          <w:highlight w:val="none"/>
          <w:lang w:eastAsia="zh-CN"/>
        </w:rPr>
        <w:t>人力资源部</w:t>
      </w:r>
      <w:r>
        <w:rPr>
          <w:rFonts w:hint="eastAsia" w:ascii="宋体" w:hAnsi="宋体" w:eastAsia="宋体" w:cs="宋体"/>
          <w:color w:val="auto"/>
          <w:highlight w:val="none"/>
        </w:rPr>
        <w:t>（南宁市青秀区</w:t>
      </w:r>
      <w:r>
        <w:rPr>
          <w:rFonts w:hint="eastAsia" w:ascii="宋体" w:hAnsi="宋体" w:cs="宋体"/>
          <w:color w:val="auto"/>
          <w:highlight w:val="none"/>
          <w:lang w:val="en-US" w:eastAsia="zh-CN"/>
        </w:rPr>
        <w:t>民族大道106号朱槿花厅3楼309办公室</w:t>
      </w:r>
      <w:r>
        <w:rPr>
          <w:rFonts w:hint="eastAsia" w:ascii="宋体" w:hAnsi="宋体" w:eastAsia="宋体" w:cs="宋体"/>
          <w:color w:val="auto"/>
          <w:highlight w:val="none"/>
        </w:rPr>
        <w:t>）</w:t>
      </w:r>
    </w:p>
    <w:p>
      <w:pPr>
        <w:bidi w:val="0"/>
        <w:rPr>
          <w:rFonts w:hint="eastAsia" w:ascii="宋体" w:hAnsi="宋体" w:eastAsia="宋体" w:cs="宋体"/>
          <w:color w:val="auto"/>
          <w:highlight w:val="none"/>
          <w:lang w:eastAsia="zh-CN"/>
        </w:rPr>
      </w:pPr>
      <w:r>
        <w:rPr>
          <w:rFonts w:hint="eastAsia" w:ascii="宋体" w:hAnsi="宋体" w:cs="宋体"/>
          <w:color w:val="auto"/>
          <w:highlight w:val="none"/>
          <w:lang w:eastAsia="zh-CN"/>
        </w:rPr>
        <w:t>联系人：</w:t>
      </w:r>
      <w:r>
        <w:rPr>
          <w:rFonts w:hint="eastAsia" w:ascii="宋体" w:hAnsi="宋体" w:cs="宋体"/>
          <w:color w:val="auto"/>
          <w:highlight w:val="none"/>
          <w:lang w:val="en-US" w:eastAsia="zh-CN"/>
        </w:rPr>
        <w:t>梁珊</w:t>
      </w:r>
    </w:p>
    <w:p>
      <w:pPr>
        <w:bidi w:val="0"/>
        <w:rPr>
          <w:rFonts w:hint="eastAsia" w:ascii="宋体" w:hAnsi="宋体" w:cs="宋体"/>
          <w:color w:val="auto"/>
          <w:spacing w:val="0"/>
          <w:sz w:val="24"/>
          <w:highlight w:val="none"/>
          <w:lang w:val="en-US" w:eastAsia="zh-CN"/>
        </w:rPr>
      </w:pPr>
      <w:bookmarkStart w:id="39" w:name="_Toc21412"/>
      <w:bookmarkStart w:id="40" w:name="_Toc46761416"/>
      <w:r>
        <w:rPr>
          <w:rFonts w:hint="eastAsia" w:ascii="宋体" w:hAnsi="宋体" w:eastAsia="宋体" w:cs="宋体"/>
          <w:color w:val="auto"/>
          <w:highlight w:val="none"/>
          <w:lang w:eastAsia="zh-CN"/>
        </w:rPr>
        <w:t>联系方式</w:t>
      </w:r>
      <w:r>
        <w:rPr>
          <w:rFonts w:hint="eastAsia" w:ascii="宋体" w:hAnsi="宋体" w:eastAsia="宋体" w:cs="宋体"/>
          <w:color w:val="auto"/>
          <w:highlight w:val="none"/>
        </w:rPr>
        <w:t>：</w:t>
      </w:r>
      <w:bookmarkEnd w:id="39"/>
      <w:bookmarkEnd w:id="40"/>
      <w:r>
        <w:rPr>
          <w:rFonts w:hint="eastAsia" w:ascii="宋体" w:hAnsi="宋体" w:cs="宋体"/>
          <w:color w:val="auto"/>
          <w:spacing w:val="0"/>
          <w:sz w:val="24"/>
          <w:highlight w:val="none"/>
          <w:lang w:val="en-US" w:eastAsia="zh-CN"/>
        </w:rPr>
        <w:t>0771－2212602</w:t>
      </w:r>
    </w:p>
    <w:p>
      <w:pPr>
        <w:bidi w:val="0"/>
        <w:rPr>
          <w:rFonts w:hint="eastAsia" w:ascii="宋体" w:hAnsi="宋体" w:cs="宋体"/>
          <w:b/>
          <w:bCs/>
          <w:color w:val="auto"/>
          <w:spacing w:val="0"/>
          <w:sz w:val="24"/>
          <w:highlight w:val="none"/>
          <w:lang w:val="en-US" w:eastAsia="zh-CN"/>
        </w:rPr>
      </w:pPr>
      <w:r>
        <w:rPr>
          <w:rFonts w:hint="eastAsia" w:ascii="宋体" w:hAnsi="宋体" w:cs="宋体"/>
          <w:b/>
          <w:bCs/>
          <w:color w:val="auto"/>
          <w:spacing w:val="0"/>
          <w:sz w:val="24"/>
          <w:highlight w:val="none"/>
          <w:lang w:val="en-US" w:eastAsia="zh-CN"/>
        </w:rPr>
        <w:t>九、监督与投诉：</w:t>
      </w:r>
    </w:p>
    <w:p>
      <w:pPr>
        <w:numPr>
          <w:ilvl w:val="0"/>
          <w:numId w:val="0"/>
        </w:numPr>
        <w:bidi w:val="0"/>
        <w:ind w:firstLine="480"/>
        <w:rPr>
          <w:rFonts w:hint="eastAsia" w:ascii="宋体" w:hAnsi="宋体" w:cs="宋体"/>
          <w:b w:val="0"/>
          <w:bCs w:val="0"/>
          <w:color w:val="auto"/>
          <w:spacing w:val="0"/>
          <w:sz w:val="24"/>
          <w:highlight w:val="none"/>
          <w:lang w:val="en-US" w:eastAsia="zh-CN"/>
        </w:rPr>
      </w:pPr>
      <w:r>
        <w:rPr>
          <w:rFonts w:hint="eastAsia" w:ascii="宋体" w:hAnsi="宋体" w:cs="宋体"/>
          <w:b w:val="0"/>
          <w:bCs w:val="0"/>
          <w:color w:val="auto"/>
          <w:spacing w:val="0"/>
          <w:sz w:val="24"/>
          <w:highlight w:val="none"/>
          <w:lang w:val="en-US" w:eastAsia="zh-CN"/>
        </w:rPr>
        <w:t>广西国际博览集团有限公司经营管理部</w:t>
      </w:r>
    </w:p>
    <w:p>
      <w:pPr>
        <w:numPr>
          <w:ilvl w:val="0"/>
          <w:numId w:val="0"/>
        </w:numPr>
        <w:bidi w:val="0"/>
        <w:ind w:firstLine="480"/>
        <w:rPr>
          <w:rFonts w:hint="default" w:ascii="宋体" w:hAnsi="宋体" w:cs="宋体"/>
          <w:b w:val="0"/>
          <w:bCs w:val="0"/>
          <w:color w:val="auto"/>
          <w:spacing w:val="0"/>
          <w:sz w:val="24"/>
          <w:highlight w:val="none"/>
          <w:lang w:val="en-US" w:eastAsia="zh-CN"/>
        </w:rPr>
      </w:pPr>
      <w:r>
        <w:rPr>
          <w:rFonts w:hint="eastAsia" w:ascii="宋体" w:hAnsi="宋体" w:cs="宋体"/>
          <w:b w:val="0"/>
          <w:bCs w:val="0"/>
          <w:color w:val="auto"/>
          <w:spacing w:val="0"/>
          <w:sz w:val="24"/>
          <w:highlight w:val="none"/>
          <w:lang w:val="en-US" w:eastAsia="zh-CN"/>
        </w:rPr>
        <w:t>联系人： 刘女士    联系电话：0771-2212522</w:t>
      </w:r>
    </w:p>
    <w:p>
      <w:pPr>
        <w:numPr>
          <w:ilvl w:val="0"/>
          <w:numId w:val="0"/>
        </w:numPr>
        <w:bidi w:val="0"/>
        <w:ind w:firstLine="480"/>
        <w:rPr>
          <w:rFonts w:hint="eastAsia" w:ascii="宋体" w:hAnsi="宋体" w:cs="宋体"/>
          <w:b w:val="0"/>
          <w:bCs w:val="0"/>
          <w:color w:val="auto"/>
          <w:spacing w:val="0"/>
          <w:sz w:val="24"/>
          <w:highlight w:val="none"/>
          <w:lang w:val="en-US" w:eastAsia="zh-CN"/>
        </w:rPr>
      </w:pPr>
      <w:r>
        <w:rPr>
          <w:rFonts w:hint="eastAsia" w:ascii="宋体" w:hAnsi="宋体" w:cs="宋体"/>
          <w:b w:val="0"/>
          <w:bCs w:val="0"/>
          <w:color w:val="auto"/>
          <w:spacing w:val="0"/>
          <w:sz w:val="24"/>
          <w:highlight w:val="none"/>
          <w:lang w:val="en-US" w:eastAsia="zh-CN"/>
        </w:rPr>
        <w:t>地址：南宁市青秀区民族大道106号朱槿花厅3楼/邮编：530000</w:t>
      </w:r>
    </w:p>
    <w:p>
      <w:pPr>
        <w:bidi w:val="0"/>
        <w:rPr>
          <w:rFonts w:hint="default" w:ascii="宋体" w:hAnsi="宋体" w:cs="宋体"/>
          <w:b/>
          <w:bCs/>
          <w:color w:val="auto"/>
          <w:spacing w:val="0"/>
          <w:sz w:val="24"/>
          <w:highlight w:val="none"/>
          <w:lang w:val="en-US" w:eastAsia="zh-CN"/>
        </w:rPr>
      </w:pPr>
    </w:p>
    <w:p>
      <w:pPr>
        <w:bidi w:val="0"/>
        <w:rPr>
          <w:rFonts w:hint="eastAsia" w:ascii="宋体" w:hAnsi="宋体" w:eastAsia="宋体" w:cs="宋体"/>
          <w:color w:val="auto"/>
          <w:highlight w:val="none"/>
        </w:rPr>
      </w:pPr>
    </w:p>
    <w:p>
      <w:pPr>
        <w:snapToGrid w:val="0"/>
        <w:spacing w:line="360" w:lineRule="auto"/>
        <w:ind w:firstLine="48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 w:val="24"/>
          <w:szCs w:val="24"/>
          <w:highlight w:val="none"/>
          <w:lang w:val="en-US" w:eastAsia="zh-CN"/>
        </w:rPr>
        <w:t>广西国际博览集团有限</w:t>
      </w:r>
      <w:r>
        <w:rPr>
          <w:rFonts w:hint="eastAsia" w:ascii="宋体" w:hAnsi="宋体" w:eastAsia="宋体" w:cs="宋体"/>
          <w:color w:val="auto"/>
          <w:sz w:val="24"/>
          <w:szCs w:val="24"/>
          <w:highlight w:val="none"/>
          <w:lang w:eastAsia="zh-CN"/>
        </w:rPr>
        <w:t>公司</w:t>
      </w:r>
    </w:p>
    <w:p>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日</w:t>
      </w:r>
    </w:p>
    <w:p>
      <w:pPr>
        <w:keepNext w:val="0"/>
        <w:keepLines w:val="0"/>
        <w:pageBreakBefore w:val="0"/>
        <w:widowControl w:val="0"/>
        <w:kinsoku/>
        <w:wordWrap/>
        <w:overflowPunct/>
        <w:topLinePunct w:val="0"/>
        <w:autoSpaceDE/>
        <w:autoSpaceDN/>
        <w:bidi w:val="0"/>
        <w:adjustRightInd/>
        <w:snapToGrid/>
        <w:spacing w:before="157" w:beforeLines="50" w:line="400" w:lineRule="exact"/>
        <w:jc w:val="center"/>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bookmarkStart w:id="41" w:name="_Toc20336"/>
      <w:bookmarkStart w:id="42" w:name="_Toc28281"/>
      <w:bookmarkStart w:id="43" w:name="_Toc31183"/>
      <w:r>
        <w:rPr>
          <w:rStyle w:val="59"/>
          <w:rFonts w:hint="eastAsia"/>
          <w:color w:val="auto"/>
          <w:highlight w:val="none"/>
        </w:rPr>
        <w:t xml:space="preserve">第二章 </w:t>
      </w:r>
      <w:r>
        <w:rPr>
          <w:rStyle w:val="59"/>
          <w:rFonts w:hint="eastAsia"/>
          <w:color w:val="auto"/>
          <w:highlight w:val="none"/>
          <w:lang w:val="en-US" w:eastAsia="zh-CN"/>
        </w:rPr>
        <w:t>供应商</w:t>
      </w:r>
      <w:r>
        <w:rPr>
          <w:rStyle w:val="59"/>
          <w:rFonts w:hint="eastAsia"/>
          <w:color w:val="auto"/>
          <w:highlight w:val="none"/>
        </w:rPr>
        <w:t>须知</w:t>
      </w:r>
      <w:bookmarkEnd w:id="41"/>
      <w:bookmarkEnd w:id="42"/>
      <w:bookmarkEnd w:id="43"/>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b/>
          <w:bCs/>
          <w:color w:val="auto"/>
          <w:sz w:val="28"/>
          <w:szCs w:val="28"/>
          <w:highlight w:val="none"/>
        </w:rPr>
      </w:pPr>
      <w:bookmarkStart w:id="44" w:name="_Toc1828"/>
      <w:bookmarkStart w:id="45" w:name="_Toc46761420"/>
      <w:bookmarkStart w:id="46" w:name="_Toc3570431"/>
      <w:r>
        <w:rPr>
          <w:rFonts w:hint="eastAsia"/>
          <w:b/>
          <w:bCs/>
          <w:color w:val="auto"/>
          <w:sz w:val="28"/>
          <w:szCs w:val="28"/>
          <w:highlight w:val="none"/>
          <w:lang w:val="en-US" w:eastAsia="zh-CN"/>
        </w:rPr>
        <w:t>供应商</w:t>
      </w:r>
      <w:r>
        <w:rPr>
          <w:rFonts w:hint="eastAsia"/>
          <w:b/>
          <w:bCs/>
          <w:color w:val="auto"/>
          <w:sz w:val="28"/>
          <w:szCs w:val="28"/>
          <w:highlight w:val="none"/>
        </w:rPr>
        <w:t>须知前附表</w:t>
      </w:r>
      <w:bookmarkEnd w:id="44"/>
      <w:bookmarkEnd w:id="45"/>
    </w:p>
    <w:tbl>
      <w:tblPr>
        <w:tblStyle w:val="46"/>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735"/>
        <w:gridCol w:w="6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名称</w:t>
            </w:r>
          </w:p>
        </w:tc>
        <w:tc>
          <w:tcPr>
            <w:tcW w:w="605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具体内容和要求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jc w:val="center"/>
        </w:trPr>
        <w:tc>
          <w:tcPr>
            <w:tcW w:w="7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采购项目</w:t>
            </w:r>
          </w:p>
        </w:tc>
        <w:tc>
          <w:tcPr>
            <w:tcW w:w="605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sz w:val="24"/>
                <w:szCs w:val="24"/>
                <w:highlight w:val="none"/>
                <w:lang w:val="en-US" w:eastAsia="zh-CN"/>
              </w:rPr>
              <w:t>广西国际博览集团有限</w:t>
            </w:r>
            <w:r>
              <w:rPr>
                <w:rFonts w:hint="eastAsia" w:ascii="宋体" w:hAnsi="宋体" w:eastAsia="宋体" w:cs="宋体"/>
                <w:color w:val="auto"/>
                <w:sz w:val="24"/>
                <w:szCs w:val="24"/>
                <w:highlight w:val="none"/>
                <w:lang w:eastAsia="zh-CN"/>
              </w:rPr>
              <w:t>公</w:t>
            </w:r>
            <w:r>
              <w:rPr>
                <w:rFonts w:hint="eastAsia" w:ascii="宋体" w:hAnsi="宋体" w:eastAsia="宋体" w:cs="宋体"/>
                <w:color w:val="auto"/>
                <w:sz w:val="24"/>
                <w:szCs w:val="24"/>
                <w:highlight w:val="none"/>
                <w:lang w:val="en-US" w:eastAsia="zh-CN"/>
              </w:rPr>
              <w:t>司2019－2023年度重点群体退抵税补贴项目服务采购项目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jc w:val="center"/>
        </w:trPr>
        <w:tc>
          <w:tcPr>
            <w:tcW w:w="7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color w:val="auto"/>
                <w:sz w:val="24"/>
                <w:szCs w:val="24"/>
                <w:highlight w:val="none"/>
              </w:rPr>
            </w:pP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w:t>
            </w:r>
            <w:r>
              <w:rPr>
                <w:rFonts w:hint="eastAsia" w:ascii="宋体" w:hAnsi="宋体" w:cs="宋体"/>
                <w:color w:val="auto"/>
                <w:kern w:val="0"/>
                <w:sz w:val="24"/>
                <w:szCs w:val="24"/>
                <w:highlight w:val="none"/>
                <w:lang w:eastAsia="zh-CN"/>
              </w:rPr>
              <w:t>服务项目</w:t>
            </w:r>
            <w:r>
              <w:rPr>
                <w:rFonts w:hint="eastAsia" w:ascii="宋体" w:hAnsi="宋体" w:eastAsia="宋体" w:cs="宋体"/>
                <w:color w:val="auto"/>
                <w:kern w:val="0"/>
                <w:sz w:val="24"/>
                <w:szCs w:val="24"/>
                <w:highlight w:val="none"/>
              </w:rPr>
              <w:t>预算</w:t>
            </w:r>
          </w:p>
        </w:tc>
        <w:tc>
          <w:tcPr>
            <w:tcW w:w="605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default"/>
                <w:color w:val="auto"/>
                <w:highlight w:val="none"/>
                <w:lang w:val="en-US"/>
              </w:rPr>
            </w:pPr>
            <w:r>
              <w:rPr>
                <w:rFonts w:hint="eastAsia"/>
                <w:color w:val="auto"/>
                <w:highlight w:val="none"/>
                <w:lang w:val="en-US" w:eastAsia="zh-CN"/>
              </w:rPr>
              <w:t>政府相关部门的退税或税收减免资金或相关部门补贴资金合计金额的20%。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jc w:val="center"/>
        </w:trPr>
        <w:tc>
          <w:tcPr>
            <w:tcW w:w="7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color w:val="auto"/>
                <w:sz w:val="24"/>
                <w:szCs w:val="24"/>
                <w:highlight w:val="none"/>
              </w:rPr>
            </w:pP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公告媒体</w:t>
            </w:r>
          </w:p>
        </w:tc>
        <w:tc>
          <w:tcPr>
            <w:tcW w:w="605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网址：</w:t>
            </w:r>
            <w:r>
              <w:rPr>
                <w:rFonts w:hint="eastAsia" w:ascii="宋体" w:hAnsi="宋体" w:eastAsia="宋体" w:cs="宋体"/>
                <w:color w:val="auto"/>
                <w:sz w:val="24"/>
                <w:szCs w:val="24"/>
                <w:highlight w:val="none"/>
                <w:lang w:val="en-US" w:eastAsia="zh-CN"/>
              </w:rPr>
              <w:t>广西国际博览集团有限</w:t>
            </w:r>
            <w:r>
              <w:rPr>
                <w:rFonts w:hint="eastAsia" w:ascii="宋体" w:hAnsi="宋体" w:eastAsia="宋体" w:cs="宋体"/>
                <w:color w:val="auto"/>
                <w:sz w:val="24"/>
                <w:szCs w:val="24"/>
                <w:highlight w:val="none"/>
                <w:lang w:eastAsia="zh-CN"/>
              </w:rPr>
              <w:t>公司</w:t>
            </w:r>
            <w:r>
              <w:rPr>
                <w:rFonts w:hint="eastAsia" w:ascii="宋体" w:hAnsi="宋体" w:eastAsia="宋体" w:cs="宋体"/>
                <w:b w:val="0"/>
                <w:i w:val="0"/>
                <w:caps w:val="0"/>
                <w:color w:val="auto"/>
                <w:spacing w:val="0"/>
                <w:w w:val="100"/>
                <w:sz w:val="24"/>
                <w:szCs w:val="24"/>
                <w:highlight w:val="none"/>
                <w:u w:val="single" w:color="000000"/>
                <w:lang w:val="en-US" w:eastAsia="zh-CN"/>
              </w:rPr>
              <w:t>（www.</w:t>
            </w:r>
            <w:r>
              <w:rPr>
                <w:rFonts w:hint="eastAsia" w:ascii="宋体" w:hAnsi="宋体" w:cs="宋体"/>
                <w:b w:val="0"/>
                <w:i w:val="0"/>
                <w:caps w:val="0"/>
                <w:color w:val="auto"/>
                <w:spacing w:val="0"/>
                <w:w w:val="100"/>
                <w:sz w:val="24"/>
                <w:szCs w:val="24"/>
                <w:highlight w:val="none"/>
                <w:u w:val="single" w:color="000000"/>
                <w:lang w:val="en-US" w:eastAsia="zh-CN"/>
              </w:rPr>
              <w:t>gxexpogp</w:t>
            </w:r>
            <w:r>
              <w:rPr>
                <w:rFonts w:hint="eastAsia" w:ascii="宋体" w:hAnsi="宋体" w:eastAsia="宋体" w:cs="宋体"/>
                <w:b w:val="0"/>
                <w:i w:val="0"/>
                <w:caps w:val="0"/>
                <w:color w:val="auto"/>
                <w:spacing w:val="0"/>
                <w:w w:val="100"/>
                <w:sz w:val="24"/>
                <w:szCs w:val="24"/>
                <w:highlight w:val="none"/>
                <w:u w:val="single" w:color="000000"/>
                <w:lang w:val="en-US" w:eastAsia="zh-CN"/>
              </w:rPr>
              <w:t>.cn/）</w:t>
            </w:r>
            <w:r>
              <w:rPr>
                <w:rFonts w:hint="eastAsia" w:ascii="宋体" w:hAnsi="宋体" w:cs="宋体"/>
                <w:b w:val="0"/>
                <w:i w:val="0"/>
                <w:caps w:val="0"/>
                <w:color w:val="auto"/>
                <w:spacing w:val="0"/>
                <w:w w:val="100"/>
                <w:sz w:val="24"/>
                <w:szCs w:val="24"/>
                <w:highlight w:val="none"/>
                <w:u w:val="single" w:color="000000"/>
                <w:lang w:val="en-US" w:eastAsia="zh-CN"/>
              </w:rPr>
              <w:t>等渠道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jc w:val="center"/>
        </w:trPr>
        <w:tc>
          <w:tcPr>
            <w:tcW w:w="79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供应商资格</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条件</w:t>
            </w:r>
          </w:p>
        </w:tc>
        <w:tc>
          <w:tcPr>
            <w:tcW w:w="605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供应商资格要求：</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b w:val="0"/>
                <w:bCs/>
                <w:i w:val="0"/>
                <w:caps w:val="0"/>
                <w:color w:val="auto"/>
                <w:spacing w:val="0"/>
                <w:w w:val="100"/>
                <w:sz w:val="24"/>
                <w:szCs w:val="24"/>
                <w:highlight w:val="none"/>
                <w:lang w:eastAsia="zh-CN"/>
              </w:rPr>
            </w:pPr>
            <w:r>
              <w:rPr>
                <w:rFonts w:hint="eastAsia" w:ascii="宋体" w:hAnsi="宋体" w:eastAsia="宋体" w:cs="宋体"/>
                <w:b w:val="0"/>
                <w:bCs/>
                <w:i w:val="0"/>
                <w:caps w:val="0"/>
                <w:color w:val="auto"/>
                <w:spacing w:val="0"/>
                <w:w w:val="100"/>
                <w:sz w:val="24"/>
                <w:szCs w:val="24"/>
                <w:highlight w:val="none"/>
              </w:rPr>
              <w:t>1.供应商参加</w:t>
            </w:r>
            <w:r>
              <w:rPr>
                <w:rFonts w:hint="eastAsia" w:ascii="宋体" w:hAnsi="宋体" w:eastAsia="宋体" w:cs="宋体"/>
                <w:b w:val="0"/>
                <w:bCs/>
                <w:i w:val="0"/>
                <w:caps w:val="0"/>
                <w:color w:val="auto"/>
                <w:spacing w:val="0"/>
                <w:w w:val="100"/>
                <w:sz w:val="24"/>
                <w:szCs w:val="24"/>
                <w:highlight w:val="none"/>
                <w:lang w:eastAsia="zh-CN"/>
              </w:rPr>
              <w:t>本</w:t>
            </w:r>
            <w:r>
              <w:rPr>
                <w:rFonts w:hint="eastAsia" w:ascii="宋体" w:hAnsi="宋体" w:eastAsia="宋体" w:cs="宋体"/>
                <w:b w:val="0"/>
                <w:bCs/>
                <w:i w:val="0"/>
                <w:caps w:val="0"/>
                <w:color w:val="auto"/>
                <w:spacing w:val="0"/>
                <w:w w:val="100"/>
                <w:sz w:val="24"/>
                <w:szCs w:val="24"/>
                <w:highlight w:val="none"/>
              </w:rPr>
              <w:t>采购活动应当具备下列条件</w:t>
            </w:r>
            <w:r>
              <w:rPr>
                <w:rFonts w:hint="eastAsia" w:ascii="宋体" w:hAnsi="宋体" w:eastAsia="宋体" w:cs="宋体"/>
                <w:b w:val="0"/>
                <w:bCs/>
                <w:i w:val="0"/>
                <w:caps w:val="0"/>
                <w:color w:val="auto"/>
                <w:spacing w:val="0"/>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b w:val="0"/>
                <w:bCs/>
                <w:i w:val="0"/>
                <w:caps w:val="0"/>
                <w:color w:val="auto"/>
                <w:spacing w:val="0"/>
                <w:w w:val="100"/>
                <w:sz w:val="24"/>
                <w:szCs w:val="24"/>
                <w:highlight w:val="none"/>
                <w:lang w:eastAsia="zh-CN"/>
              </w:rPr>
            </w:pPr>
            <w:r>
              <w:rPr>
                <w:rFonts w:hint="eastAsia" w:ascii="宋体" w:hAnsi="宋体" w:eastAsia="宋体" w:cs="宋体"/>
                <w:b w:val="0"/>
                <w:bCs/>
                <w:i w:val="0"/>
                <w:caps w:val="0"/>
                <w:color w:val="auto"/>
                <w:spacing w:val="0"/>
                <w:w w:val="100"/>
                <w:sz w:val="24"/>
                <w:szCs w:val="24"/>
                <w:highlight w:val="none"/>
                <w:lang w:eastAsia="zh-CN"/>
              </w:rPr>
              <w:t>（</w:t>
            </w:r>
            <w:r>
              <w:rPr>
                <w:rFonts w:hint="eastAsia" w:ascii="宋体" w:hAnsi="宋体" w:cs="宋体"/>
                <w:b w:val="0"/>
                <w:bCs/>
                <w:i w:val="0"/>
                <w:caps w:val="0"/>
                <w:color w:val="auto"/>
                <w:spacing w:val="0"/>
                <w:w w:val="100"/>
                <w:sz w:val="24"/>
                <w:szCs w:val="24"/>
                <w:highlight w:val="none"/>
                <w:lang w:val="en-US" w:eastAsia="zh-CN"/>
              </w:rPr>
              <w:t>1</w:t>
            </w:r>
            <w:r>
              <w:rPr>
                <w:rFonts w:hint="eastAsia" w:ascii="宋体" w:hAnsi="宋体" w:eastAsia="宋体" w:cs="宋体"/>
                <w:b w:val="0"/>
                <w:bCs/>
                <w:i w:val="0"/>
                <w:caps w:val="0"/>
                <w:color w:val="auto"/>
                <w:spacing w:val="0"/>
                <w:w w:val="100"/>
                <w:sz w:val="24"/>
                <w:szCs w:val="24"/>
                <w:highlight w:val="none"/>
                <w:lang w:eastAsia="zh-CN"/>
              </w:rPr>
              <w:t>）具有独立承担民事责任的能力；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b w:val="0"/>
                <w:bCs/>
                <w:i w:val="0"/>
                <w:caps w:val="0"/>
                <w:color w:val="auto"/>
                <w:spacing w:val="0"/>
                <w:w w:val="100"/>
                <w:sz w:val="24"/>
                <w:szCs w:val="24"/>
                <w:highlight w:val="none"/>
                <w:lang w:eastAsia="zh-CN"/>
              </w:rPr>
            </w:pPr>
            <w:r>
              <w:rPr>
                <w:rFonts w:hint="eastAsia" w:ascii="宋体" w:hAnsi="宋体" w:eastAsia="宋体" w:cs="宋体"/>
                <w:b w:val="0"/>
                <w:bCs/>
                <w:i w:val="0"/>
                <w:caps w:val="0"/>
                <w:color w:val="auto"/>
                <w:spacing w:val="0"/>
                <w:w w:val="100"/>
                <w:sz w:val="24"/>
                <w:szCs w:val="24"/>
                <w:highlight w:val="none"/>
                <w:lang w:eastAsia="zh-CN"/>
              </w:rPr>
              <w:t>（</w:t>
            </w:r>
            <w:r>
              <w:rPr>
                <w:rFonts w:hint="eastAsia" w:ascii="宋体" w:hAnsi="宋体" w:cs="宋体"/>
                <w:b w:val="0"/>
                <w:bCs/>
                <w:i w:val="0"/>
                <w:caps w:val="0"/>
                <w:color w:val="auto"/>
                <w:spacing w:val="0"/>
                <w:w w:val="100"/>
                <w:sz w:val="24"/>
                <w:szCs w:val="24"/>
                <w:highlight w:val="none"/>
                <w:lang w:val="en-US" w:eastAsia="zh-CN"/>
              </w:rPr>
              <w:t>2</w:t>
            </w:r>
            <w:r>
              <w:rPr>
                <w:rFonts w:hint="eastAsia" w:ascii="宋体" w:hAnsi="宋体" w:eastAsia="宋体" w:cs="宋体"/>
                <w:b w:val="0"/>
                <w:bCs/>
                <w:i w:val="0"/>
                <w:caps w:val="0"/>
                <w:color w:val="auto"/>
                <w:spacing w:val="0"/>
                <w:w w:val="100"/>
                <w:sz w:val="24"/>
                <w:szCs w:val="24"/>
                <w:highlight w:val="none"/>
                <w:lang w:eastAsia="zh-CN"/>
              </w:rPr>
              <w:t>）有依法缴纳税收和社会保障资金的良好记录；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b w:val="0"/>
                <w:bCs/>
                <w:i w:val="0"/>
                <w:caps w:val="0"/>
                <w:color w:val="auto"/>
                <w:spacing w:val="0"/>
                <w:w w:val="100"/>
                <w:sz w:val="24"/>
                <w:szCs w:val="24"/>
                <w:highlight w:val="none"/>
                <w:lang w:eastAsia="zh-CN"/>
              </w:rPr>
            </w:pPr>
            <w:r>
              <w:rPr>
                <w:rFonts w:hint="eastAsia" w:ascii="宋体" w:hAnsi="宋体" w:eastAsia="宋体" w:cs="宋体"/>
                <w:b w:val="0"/>
                <w:bCs/>
                <w:i w:val="0"/>
                <w:caps w:val="0"/>
                <w:color w:val="auto"/>
                <w:spacing w:val="0"/>
                <w:w w:val="100"/>
                <w:sz w:val="24"/>
                <w:szCs w:val="24"/>
                <w:highlight w:val="none"/>
                <w:lang w:eastAsia="zh-CN"/>
              </w:rPr>
              <w:t>（</w:t>
            </w:r>
            <w:r>
              <w:rPr>
                <w:rFonts w:hint="eastAsia" w:ascii="宋体" w:hAnsi="宋体" w:cs="宋体"/>
                <w:b w:val="0"/>
                <w:bCs/>
                <w:i w:val="0"/>
                <w:caps w:val="0"/>
                <w:color w:val="auto"/>
                <w:spacing w:val="0"/>
                <w:w w:val="100"/>
                <w:sz w:val="24"/>
                <w:szCs w:val="24"/>
                <w:highlight w:val="none"/>
                <w:lang w:val="en-US" w:eastAsia="zh-CN"/>
              </w:rPr>
              <w:t>3</w:t>
            </w:r>
            <w:r>
              <w:rPr>
                <w:rFonts w:hint="eastAsia" w:ascii="宋体" w:hAnsi="宋体" w:eastAsia="宋体" w:cs="宋体"/>
                <w:b w:val="0"/>
                <w:bCs/>
                <w:i w:val="0"/>
                <w:caps w:val="0"/>
                <w:color w:val="auto"/>
                <w:spacing w:val="0"/>
                <w:w w:val="100"/>
                <w:sz w:val="24"/>
                <w:szCs w:val="24"/>
                <w:highlight w:val="none"/>
                <w:lang w:eastAsia="zh-CN"/>
              </w:rPr>
              <w:t>）参加采购活动前三年内，在经营活动中没有重大违法记录；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b w:val="0"/>
                <w:bCs/>
                <w:i w:val="0"/>
                <w:caps w:val="0"/>
                <w:color w:val="auto"/>
                <w:spacing w:val="0"/>
                <w:w w:val="100"/>
                <w:sz w:val="24"/>
                <w:szCs w:val="24"/>
                <w:highlight w:val="none"/>
                <w:lang w:eastAsia="zh-CN"/>
              </w:rPr>
            </w:pPr>
            <w:r>
              <w:rPr>
                <w:rFonts w:hint="eastAsia" w:ascii="宋体" w:hAnsi="宋体" w:eastAsia="宋体" w:cs="宋体"/>
                <w:b w:val="0"/>
                <w:bCs/>
                <w:i w:val="0"/>
                <w:caps w:val="0"/>
                <w:color w:val="auto"/>
                <w:spacing w:val="0"/>
                <w:w w:val="100"/>
                <w:sz w:val="24"/>
                <w:szCs w:val="24"/>
                <w:highlight w:val="none"/>
                <w:lang w:eastAsia="zh-CN"/>
              </w:rPr>
              <w:t>（</w:t>
            </w:r>
            <w:r>
              <w:rPr>
                <w:rFonts w:hint="eastAsia" w:ascii="宋体" w:hAnsi="宋体" w:cs="宋体"/>
                <w:b w:val="0"/>
                <w:bCs/>
                <w:i w:val="0"/>
                <w:caps w:val="0"/>
                <w:color w:val="auto"/>
                <w:spacing w:val="0"/>
                <w:w w:val="100"/>
                <w:sz w:val="24"/>
                <w:szCs w:val="24"/>
                <w:highlight w:val="none"/>
                <w:lang w:val="en-US" w:eastAsia="zh-CN"/>
              </w:rPr>
              <w:t>4</w:t>
            </w:r>
            <w:r>
              <w:rPr>
                <w:rFonts w:hint="eastAsia" w:ascii="宋体" w:hAnsi="宋体" w:eastAsia="宋体" w:cs="宋体"/>
                <w:b w:val="0"/>
                <w:bCs/>
                <w:i w:val="0"/>
                <w:caps w:val="0"/>
                <w:color w:val="auto"/>
                <w:spacing w:val="0"/>
                <w:w w:val="100"/>
                <w:sz w:val="24"/>
                <w:szCs w:val="24"/>
                <w:highlight w:val="none"/>
                <w:lang w:eastAsia="zh-CN"/>
              </w:rPr>
              <w:t>）法律、行政法规规定的其他条件。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b w:val="0"/>
                <w:bCs/>
                <w:i w:val="0"/>
                <w:caps w:val="0"/>
                <w:color w:val="auto"/>
                <w:spacing w:val="0"/>
                <w:w w:val="100"/>
                <w:sz w:val="24"/>
                <w:szCs w:val="24"/>
                <w:highlight w:val="none"/>
                <w:lang w:val="en-US" w:eastAsia="zh-CN"/>
              </w:rPr>
            </w:pPr>
            <w:r>
              <w:rPr>
                <w:rFonts w:hint="eastAsia" w:ascii="宋体" w:hAnsi="宋体" w:eastAsia="宋体" w:cs="宋体"/>
                <w:b w:val="0"/>
                <w:bCs/>
                <w:i w:val="0"/>
                <w:caps w:val="0"/>
                <w:color w:val="auto"/>
                <w:spacing w:val="0"/>
                <w:w w:val="100"/>
                <w:sz w:val="24"/>
                <w:szCs w:val="24"/>
                <w:highlight w:val="none"/>
                <w:lang w:val="en-US" w:eastAsia="zh-CN"/>
              </w:rPr>
              <w:t>2.</w:t>
            </w:r>
            <w:r>
              <w:rPr>
                <w:rFonts w:hint="eastAsia" w:ascii="宋体" w:hAnsi="宋体" w:eastAsia="宋体" w:cs="宋体"/>
                <w:b w:val="0"/>
                <w:bCs/>
                <w:i w:val="0"/>
                <w:caps w:val="0"/>
                <w:color w:val="auto"/>
                <w:spacing w:val="0"/>
                <w:w w:val="100"/>
                <w:sz w:val="24"/>
                <w:szCs w:val="24"/>
                <w:highlight w:val="none"/>
              </w:rPr>
              <w:t>本项目的特定资格要求：</w:t>
            </w:r>
            <w:r>
              <w:rPr>
                <w:rFonts w:hint="eastAsia" w:ascii="宋体" w:hAnsi="宋体" w:cs="宋体"/>
                <w:snapToGrid/>
                <w:color w:val="auto"/>
                <w:kern w:val="2"/>
                <w:sz w:val="24"/>
                <w:szCs w:val="24"/>
                <w:highlight w:val="none"/>
                <w:lang w:val="en-US" w:eastAsia="zh-CN" w:bidi="ar-SA"/>
              </w:rPr>
              <w:t>无</w:t>
            </w:r>
            <w:r>
              <w:rPr>
                <w:rFonts w:hint="eastAsia" w:ascii="宋体" w:hAnsi="宋体" w:eastAsia="宋体" w:cs="宋体"/>
                <w:b w:val="0"/>
                <w:bCs/>
                <w:i w:val="0"/>
                <w:caps w:val="0"/>
                <w:color w:val="auto"/>
                <w:spacing w:val="0"/>
                <w:w w:val="1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b w:val="0"/>
                <w:bCs/>
                <w:i w:val="0"/>
                <w:caps w:val="0"/>
                <w:color w:val="auto"/>
                <w:spacing w:val="0"/>
                <w:w w:val="100"/>
                <w:sz w:val="24"/>
                <w:szCs w:val="24"/>
                <w:highlight w:val="none"/>
                <w:lang w:val="en-US" w:eastAsia="zh-CN"/>
              </w:rPr>
            </w:pPr>
            <w:r>
              <w:rPr>
                <w:rFonts w:hint="eastAsia" w:ascii="宋体" w:hAnsi="宋体" w:cs="宋体"/>
                <w:b w:val="0"/>
                <w:bCs/>
                <w:i w:val="0"/>
                <w:caps w:val="0"/>
                <w:color w:val="auto"/>
                <w:spacing w:val="0"/>
                <w:w w:val="100"/>
                <w:sz w:val="24"/>
                <w:szCs w:val="24"/>
                <w:highlight w:val="none"/>
                <w:lang w:val="en-US" w:eastAsia="zh-CN"/>
              </w:rPr>
              <w:t>3.</w:t>
            </w:r>
            <w:r>
              <w:rPr>
                <w:rFonts w:hint="eastAsia" w:ascii="宋体" w:hAnsi="宋体" w:eastAsia="宋体" w:cs="宋体"/>
                <w:b w:val="0"/>
                <w:bCs/>
                <w:i w:val="0"/>
                <w:caps w:val="0"/>
                <w:color w:val="auto"/>
                <w:spacing w:val="0"/>
                <w:w w:val="100"/>
                <w:sz w:val="24"/>
                <w:szCs w:val="24"/>
                <w:highlight w:val="none"/>
                <w:lang w:val="en-US" w:eastAsia="zh-CN"/>
              </w:rPr>
              <w:t>本项目由符合国家有关法律法规规定、同时满足本项目资质要求、在中国境内注册的合格供应商参加磋商。</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b w:val="0"/>
                <w:bCs/>
                <w:i w:val="0"/>
                <w:caps w:val="0"/>
                <w:color w:val="auto"/>
                <w:spacing w:val="0"/>
                <w:w w:val="100"/>
                <w:sz w:val="24"/>
                <w:szCs w:val="24"/>
                <w:highlight w:val="none"/>
                <w:lang w:val="en-US" w:eastAsia="zh-CN"/>
              </w:rPr>
            </w:pPr>
            <w:r>
              <w:rPr>
                <w:rFonts w:hint="eastAsia" w:ascii="宋体" w:hAnsi="宋体" w:cs="宋体"/>
                <w:b w:val="0"/>
                <w:bCs/>
                <w:i w:val="0"/>
                <w:caps w:val="0"/>
                <w:color w:val="auto"/>
                <w:spacing w:val="0"/>
                <w:w w:val="100"/>
                <w:sz w:val="24"/>
                <w:szCs w:val="24"/>
                <w:highlight w:val="none"/>
                <w:lang w:val="en-US" w:eastAsia="zh-CN"/>
              </w:rPr>
              <w:t>4</w:t>
            </w:r>
            <w:r>
              <w:rPr>
                <w:rFonts w:hint="eastAsia" w:ascii="宋体" w:hAnsi="宋体" w:eastAsia="宋体" w:cs="宋体"/>
                <w:b w:val="0"/>
                <w:bCs/>
                <w:i w:val="0"/>
                <w:caps w:val="0"/>
                <w:color w:val="auto"/>
                <w:spacing w:val="0"/>
                <w:w w:val="100"/>
                <w:sz w:val="24"/>
                <w:szCs w:val="24"/>
                <w:highlight w:val="none"/>
                <w:lang w:val="en-US" w:eastAsia="zh-CN"/>
              </w:rPr>
              <w:t>.在“信用中国”网站(www.creditchina.gov.cn)、中国政府采购网(www.ccgp.gov.cn)等渠道查询</w:t>
            </w:r>
            <w:r>
              <w:rPr>
                <w:rFonts w:hint="eastAsia" w:ascii="宋体" w:hAnsi="宋体" w:eastAsia="宋体" w:cs="宋体"/>
                <w:b w:val="0"/>
                <w:bCs/>
                <w:i w:val="0"/>
                <w:caps w:val="0"/>
                <w:color w:val="auto"/>
                <w:spacing w:val="0"/>
                <w:w w:val="100"/>
                <w:sz w:val="24"/>
                <w:szCs w:val="24"/>
                <w:highlight w:val="none"/>
              </w:rPr>
              <w:t>对列入失信被执行人、重大税收违法案件当事人名单、政府采购严重违法失信行为记录名单</w:t>
            </w:r>
            <w:r>
              <w:rPr>
                <w:rFonts w:hint="eastAsia" w:ascii="宋体" w:hAnsi="宋体" w:eastAsia="宋体" w:cs="宋体"/>
                <w:b w:val="0"/>
                <w:bCs/>
                <w:i w:val="0"/>
                <w:caps w:val="0"/>
                <w:color w:val="auto"/>
                <w:spacing w:val="0"/>
                <w:w w:val="100"/>
                <w:sz w:val="24"/>
                <w:szCs w:val="24"/>
                <w:highlight w:val="none"/>
                <w:lang w:eastAsia="zh-CN"/>
              </w:rPr>
              <w:t>的供应商</w:t>
            </w:r>
            <w:r>
              <w:rPr>
                <w:rFonts w:hint="eastAsia" w:ascii="宋体" w:hAnsi="宋体" w:eastAsia="宋体" w:cs="宋体"/>
                <w:b w:val="0"/>
                <w:bCs/>
                <w:i w:val="0"/>
                <w:caps w:val="0"/>
                <w:color w:val="auto"/>
                <w:spacing w:val="0"/>
                <w:w w:val="100"/>
                <w:sz w:val="24"/>
                <w:szCs w:val="24"/>
                <w:highlight w:val="none"/>
              </w:rPr>
              <w:t>，应当拒绝其参与</w:t>
            </w:r>
            <w:r>
              <w:rPr>
                <w:rFonts w:hint="eastAsia" w:ascii="宋体" w:hAnsi="宋体" w:eastAsia="宋体" w:cs="宋体"/>
                <w:b w:val="0"/>
                <w:bCs/>
                <w:i w:val="0"/>
                <w:caps w:val="0"/>
                <w:color w:val="auto"/>
                <w:spacing w:val="0"/>
                <w:w w:val="100"/>
                <w:sz w:val="24"/>
                <w:szCs w:val="24"/>
                <w:highlight w:val="none"/>
                <w:lang w:eastAsia="zh-CN"/>
              </w:rPr>
              <w:t>本次</w:t>
            </w:r>
            <w:r>
              <w:rPr>
                <w:rFonts w:hint="eastAsia" w:ascii="宋体" w:hAnsi="宋体" w:eastAsia="宋体" w:cs="宋体"/>
                <w:b w:val="0"/>
                <w:bCs/>
                <w:i w:val="0"/>
                <w:caps w:val="0"/>
                <w:color w:val="auto"/>
                <w:spacing w:val="0"/>
                <w:w w:val="100"/>
                <w:sz w:val="24"/>
                <w:szCs w:val="24"/>
                <w:highlight w:val="none"/>
              </w:rPr>
              <w:t>采购活动</w:t>
            </w:r>
            <w:r>
              <w:rPr>
                <w:rFonts w:hint="eastAsia" w:ascii="宋体" w:hAnsi="宋体" w:eastAsia="宋体" w:cs="宋体"/>
                <w:b w:val="0"/>
                <w:bCs/>
                <w:i w:val="0"/>
                <w:caps w:val="0"/>
                <w:color w:val="auto"/>
                <w:spacing w:val="0"/>
                <w:w w:val="1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cs="宋体"/>
                <w:b w:val="0"/>
                <w:bCs/>
                <w:i w:val="0"/>
                <w:caps w:val="0"/>
                <w:color w:val="auto"/>
                <w:spacing w:val="0"/>
                <w:w w:val="100"/>
                <w:sz w:val="24"/>
                <w:szCs w:val="24"/>
                <w:highlight w:val="none"/>
                <w:lang w:val="en-US" w:eastAsia="zh-CN"/>
              </w:rPr>
              <w:t>5</w:t>
            </w:r>
            <w:r>
              <w:rPr>
                <w:rFonts w:hint="eastAsia" w:ascii="宋体" w:hAnsi="宋体" w:eastAsia="宋体" w:cs="宋体"/>
                <w:b w:val="0"/>
                <w:bCs/>
                <w:i w:val="0"/>
                <w:caps w:val="0"/>
                <w:color w:val="auto"/>
                <w:spacing w:val="0"/>
                <w:w w:val="100"/>
                <w:sz w:val="24"/>
                <w:szCs w:val="24"/>
                <w:highlight w:val="none"/>
                <w:lang w:val="en-US" w:eastAsia="zh-CN"/>
              </w:rPr>
              <w:t>.单位负责人为同一人或者存在直接控股、管理关系的不同供应商，不得参加同一合同项下的采购活动。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联合体</w:t>
            </w:r>
          </w:p>
        </w:tc>
        <w:tc>
          <w:tcPr>
            <w:tcW w:w="605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highlight w:val="none"/>
              </w:rPr>
            </w:pPr>
          </w:p>
        </w:tc>
        <w:tc>
          <w:tcPr>
            <w:tcW w:w="1735" w:type="dxa"/>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TW"/>
              </w:rPr>
              <w:t>分包</w:t>
            </w:r>
          </w:p>
        </w:tc>
        <w:tc>
          <w:tcPr>
            <w:tcW w:w="6057" w:type="dxa"/>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TW"/>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供应商须提供的其他资料</w:t>
            </w:r>
          </w:p>
        </w:tc>
        <w:tc>
          <w:tcPr>
            <w:tcW w:w="605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供应商应根据采购文件和项目采购需求提供相关资料。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79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澄清或者修改时间</w:t>
            </w:r>
          </w:p>
        </w:tc>
        <w:tc>
          <w:tcPr>
            <w:tcW w:w="605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澄清或者修改的内容可能影响响应文件编制的，采购人</w:t>
            </w:r>
            <w:r>
              <w:rPr>
                <w:rFonts w:hint="eastAsia" w:ascii="宋体" w:hAnsi="宋体" w:cs="宋体"/>
                <w:color w:val="auto"/>
                <w:sz w:val="24"/>
                <w:szCs w:val="24"/>
                <w:highlight w:val="none"/>
                <w:lang w:val="en-US" w:eastAsia="zh-CN"/>
              </w:rPr>
              <w:t>在</w:t>
            </w:r>
            <w:r>
              <w:rPr>
                <w:rFonts w:hint="eastAsia" w:ascii="宋体" w:hAnsi="宋体" w:eastAsia="宋体" w:cs="宋体"/>
                <w:color w:val="auto"/>
                <w:sz w:val="24"/>
                <w:szCs w:val="24"/>
                <w:highlight w:val="none"/>
                <w:lang w:val="en-US" w:eastAsia="zh-CN"/>
              </w:rPr>
              <w:t>磋商文件要求的提交首次响应文件截止时间至少2个工作日前，在磋商公告发布媒介上发布；不足2个工作日的，采购人</w:t>
            </w:r>
            <w:r>
              <w:rPr>
                <w:rFonts w:hint="eastAsia" w:ascii="宋体" w:hAnsi="宋体" w:cs="宋体"/>
                <w:color w:val="auto"/>
                <w:sz w:val="24"/>
                <w:szCs w:val="24"/>
                <w:highlight w:val="none"/>
                <w:lang w:val="en-US" w:eastAsia="zh-CN"/>
              </w:rPr>
              <w:t>应当</w:t>
            </w:r>
            <w:r>
              <w:rPr>
                <w:rFonts w:hint="eastAsia" w:ascii="宋体" w:hAnsi="宋体" w:eastAsia="宋体" w:cs="宋体"/>
                <w:color w:val="auto"/>
                <w:sz w:val="24"/>
                <w:szCs w:val="24"/>
                <w:highlight w:val="none"/>
                <w:lang w:val="en-US" w:eastAsia="zh-CN"/>
              </w:rPr>
              <w:t>顺延提交响应文件的截止时间。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6</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竞标保证金</w:t>
            </w:r>
          </w:p>
        </w:tc>
        <w:tc>
          <w:tcPr>
            <w:tcW w:w="605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本项目无竞标保证金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79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7</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递交磋商响应文件截止时间和地点</w:t>
            </w:r>
          </w:p>
        </w:tc>
        <w:tc>
          <w:tcPr>
            <w:tcW w:w="6057"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360" w:lineRule="auto"/>
              <w:ind w:left="0" w:firstLine="0" w:firstLineChars="0"/>
              <w:jc w:val="left"/>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spacing w:before="0" w:beforeAutospacing="0" w:afterAutospacing="0" w:line="360" w:lineRule="auto"/>
              <w:ind w:left="0" w:firstLine="0" w:firstLineChars="0"/>
              <w:jc w:val="left"/>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时间：</w:t>
            </w:r>
            <w:r>
              <w:rPr>
                <w:rFonts w:hint="eastAsia" w:ascii="宋体" w:hAnsi="宋体" w:eastAsia="宋体" w:cs="宋体"/>
                <w:bCs/>
                <w:color w:val="auto"/>
                <w:sz w:val="24"/>
                <w:szCs w:val="24"/>
                <w:highlight w:val="none"/>
                <w:u w:val="single"/>
              </w:rPr>
              <w:t>202</w:t>
            </w:r>
            <w:r>
              <w:rPr>
                <w:rFonts w:hint="eastAsia" w:ascii="宋体" w:hAnsi="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18</w:t>
            </w:r>
            <w:r>
              <w:rPr>
                <w:rFonts w:hint="eastAsia" w:ascii="宋体" w:hAnsi="宋体" w:eastAsia="宋体" w:cs="宋体"/>
                <w:bCs/>
                <w:color w:val="auto"/>
                <w:sz w:val="24"/>
                <w:szCs w:val="24"/>
                <w:highlight w:val="none"/>
                <w:u w:val="single"/>
              </w:rPr>
              <w:t>点00分00秒</w:t>
            </w:r>
            <w:r>
              <w:rPr>
                <w:rFonts w:hint="eastAsia" w:ascii="宋体" w:hAnsi="宋体" w:eastAsia="宋体" w:cs="宋体"/>
                <w:bCs/>
                <w:color w:val="auto"/>
                <w:sz w:val="24"/>
                <w:szCs w:val="24"/>
                <w:highlight w:val="none"/>
                <w:u w:val="none"/>
              </w:rPr>
              <w:t>(北京时间)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b w:val="0"/>
                <w:i w:val="0"/>
                <w:caps w:val="0"/>
                <w:color w:val="auto"/>
                <w:spacing w:val="0"/>
                <w:w w:val="100"/>
                <w:sz w:val="24"/>
                <w:szCs w:val="24"/>
                <w:highlight w:val="none"/>
              </w:rPr>
              <w:t>地点：</w:t>
            </w:r>
            <w:r>
              <w:rPr>
                <w:rFonts w:hint="eastAsia" w:ascii="宋体" w:hAnsi="宋体" w:eastAsia="宋体" w:cs="宋体"/>
                <w:color w:val="auto"/>
                <w:sz w:val="24"/>
                <w:szCs w:val="24"/>
                <w:highlight w:val="none"/>
                <w:lang w:val="en-US" w:eastAsia="zh-CN"/>
              </w:rPr>
              <w:t>广西国际博览集团有限</w:t>
            </w:r>
            <w:r>
              <w:rPr>
                <w:rFonts w:hint="eastAsia" w:ascii="宋体" w:hAnsi="宋体" w:eastAsia="宋体" w:cs="宋体"/>
                <w:color w:val="auto"/>
                <w:sz w:val="24"/>
                <w:szCs w:val="24"/>
                <w:highlight w:val="none"/>
                <w:lang w:eastAsia="zh-CN"/>
              </w:rPr>
              <w:t>公司</w:t>
            </w:r>
            <w:r>
              <w:rPr>
                <w:rFonts w:hint="eastAsia" w:ascii="宋体" w:hAnsi="宋体" w:cs="宋体"/>
                <w:color w:val="auto"/>
                <w:sz w:val="24"/>
                <w:szCs w:val="24"/>
                <w:highlight w:val="none"/>
                <w:lang w:eastAsia="zh-CN"/>
              </w:rPr>
              <w:t>人力资源部</w:t>
            </w:r>
            <w:r>
              <w:rPr>
                <w:rFonts w:hint="eastAsia" w:ascii="宋体" w:hAnsi="宋体" w:eastAsia="宋体" w:cs="宋体"/>
                <w:color w:val="auto"/>
                <w:highlight w:val="none"/>
              </w:rPr>
              <w:t>（南宁市青秀区</w:t>
            </w:r>
            <w:r>
              <w:rPr>
                <w:rFonts w:hint="eastAsia" w:ascii="宋体" w:hAnsi="宋体" w:cs="宋体"/>
                <w:color w:val="auto"/>
                <w:highlight w:val="none"/>
                <w:lang w:val="en-US" w:eastAsia="zh-CN"/>
              </w:rPr>
              <w:t>民族大道106号朱槿花厅3楼309办公室</w:t>
            </w:r>
            <w:r>
              <w:rPr>
                <w:rFonts w:hint="eastAsia" w:ascii="宋体" w:hAnsi="宋体" w:eastAsia="宋体" w:cs="宋体"/>
                <w:color w:val="auto"/>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79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8</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磋商响应文件开启时间和</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地点</w:t>
            </w:r>
          </w:p>
        </w:tc>
        <w:tc>
          <w:tcPr>
            <w:tcW w:w="6057"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360" w:lineRule="auto"/>
              <w:ind w:left="0" w:firstLine="0" w:firstLineChars="0"/>
              <w:jc w:val="left"/>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时间：</w:t>
            </w:r>
            <w:r>
              <w:rPr>
                <w:rFonts w:hint="eastAsia" w:ascii="宋体" w:hAnsi="宋体" w:eastAsia="宋体" w:cs="宋体"/>
                <w:bCs/>
                <w:color w:val="auto"/>
                <w:sz w:val="24"/>
                <w:szCs w:val="24"/>
                <w:highlight w:val="none"/>
                <w:u w:val="single"/>
              </w:rPr>
              <w:t>202</w:t>
            </w:r>
            <w:r>
              <w:rPr>
                <w:rFonts w:hint="eastAsia" w:ascii="宋体" w:hAnsi="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6</w:t>
            </w:r>
            <w:r>
              <w:rPr>
                <w:rFonts w:hint="eastAsia" w:ascii="宋体" w:hAnsi="宋体" w:eastAsia="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10</w:t>
            </w:r>
            <w:r>
              <w:rPr>
                <w:rFonts w:hint="eastAsia" w:ascii="宋体" w:hAnsi="宋体" w:eastAsia="宋体" w:cs="宋体"/>
                <w:bCs/>
                <w:color w:val="auto"/>
                <w:sz w:val="24"/>
                <w:szCs w:val="24"/>
                <w:highlight w:val="none"/>
                <w:u w:val="single"/>
              </w:rPr>
              <w:t>点00分00秒</w:t>
            </w:r>
            <w:r>
              <w:rPr>
                <w:rFonts w:hint="eastAsia" w:ascii="宋体" w:hAnsi="宋体" w:eastAsia="宋体" w:cs="宋体"/>
                <w:bCs/>
                <w:color w:val="auto"/>
                <w:sz w:val="24"/>
                <w:szCs w:val="24"/>
                <w:highlight w:val="none"/>
                <w:u w:val="none"/>
              </w:rPr>
              <w:t>(北京时间)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地点：</w:t>
            </w:r>
            <w:r>
              <w:rPr>
                <w:rFonts w:hint="eastAsia" w:ascii="宋体" w:hAnsi="宋体" w:eastAsia="宋体" w:cs="宋体"/>
                <w:color w:val="auto"/>
                <w:sz w:val="24"/>
                <w:szCs w:val="24"/>
                <w:highlight w:val="none"/>
                <w:lang w:val="en-US" w:eastAsia="zh-CN"/>
              </w:rPr>
              <w:t>广西国际博览集团有限</w:t>
            </w:r>
            <w:r>
              <w:rPr>
                <w:rFonts w:hint="eastAsia" w:ascii="宋体" w:hAnsi="宋体" w:eastAsia="宋体" w:cs="宋体"/>
                <w:color w:val="auto"/>
                <w:sz w:val="24"/>
                <w:szCs w:val="24"/>
                <w:highlight w:val="none"/>
                <w:lang w:eastAsia="zh-CN"/>
              </w:rPr>
              <w:t>公司</w:t>
            </w:r>
            <w:r>
              <w:rPr>
                <w:rFonts w:hint="eastAsia" w:ascii="宋体" w:hAnsi="宋体" w:cs="宋体"/>
                <w:color w:val="auto"/>
                <w:sz w:val="24"/>
                <w:szCs w:val="24"/>
                <w:highlight w:val="none"/>
                <w:lang w:eastAsia="zh-CN"/>
              </w:rPr>
              <w:t>人力资源部</w:t>
            </w:r>
            <w:r>
              <w:rPr>
                <w:rFonts w:hint="eastAsia" w:ascii="宋体" w:hAnsi="宋体" w:eastAsia="宋体" w:cs="宋体"/>
                <w:color w:val="auto"/>
                <w:highlight w:val="none"/>
              </w:rPr>
              <w:t>（南宁市青秀区</w:t>
            </w:r>
            <w:r>
              <w:rPr>
                <w:rFonts w:hint="eastAsia" w:ascii="宋体" w:hAnsi="宋体" w:cs="宋体"/>
                <w:color w:val="auto"/>
                <w:highlight w:val="none"/>
                <w:lang w:val="en-US" w:eastAsia="zh-CN"/>
              </w:rPr>
              <w:t>民族大道106号朱槿花厅3楼322办公室</w:t>
            </w: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79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9</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磋商响应</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有效期</w:t>
            </w:r>
          </w:p>
        </w:tc>
        <w:tc>
          <w:tcPr>
            <w:tcW w:w="6057" w:type="dxa"/>
            <w:vAlign w:val="center"/>
          </w:tcPr>
          <w:p>
            <w:pPr>
              <w:keepNext w:val="0"/>
              <w:keepLines w:val="0"/>
              <w:spacing w:line="360" w:lineRule="auto"/>
              <w:ind w:firstLine="0" w:firstLineChars="0"/>
              <w:jc w:val="left"/>
              <w:rPr>
                <w:rFonts w:hint="default"/>
                <w:lang w:val="en-US"/>
              </w:rPr>
            </w:pPr>
            <w:r>
              <w:rPr>
                <w:rFonts w:hint="eastAsia"/>
                <w:lang w:eastAsia="zh-CN"/>
              </w:rPr>
              <w:t>自投标之日起至</w:t>
            </w:r>
            <w:r>
              <w:rPr>
                <w:rFonts w:hint="eastAsia"/>
                <w:lang w:val="en-US" w:eastAsia="zh-CN"/>
              </w:rPr>
              <w:t>2023年9月5日</w:t>
            </w:r>
            <w:r>
              <w:rPr>
                <w:rFonts w:hint="eastAsia"/>
                <w:lang w:eastAsia="zh-CN"/>
              </w:rPr>
              <w:t>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9" w:hRule="atLeast"/>
          <w:jc w:val="center"/>
        </w:trPr>
        <w:tc>
          <w:tcPr>
            <w:tcW w:w="79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0</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响应文件的</w:t>
            </w:r>
            <w:r>
              <w:rPr>
                <w:rFonts w:hint="eastAsia" w:ascii="宋体" w:hAnsi="宋体" w:eastAsia="宋体" w:cs="宋体"/>
                <w:color w:val="auto"/>
                <w:sz w:val="24"/>
                <w:szCs w:val="24"/>
                <w:highlight w:val="none"/>
              </w:rPr>
              <w:t>组成和装订要求</w:t>
            </w:r>
          </w:p>
        </w:tc>
        <w:tc>
          <w:tcPr>
            <w:tcW w:w="605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响应文件组成和装订要求：</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★（1）响应文件的封面注明：响应文件（“正本”或“副本”）、供应商名称、供应商地址、项目名称；</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响应文件的组成：</w:t>
            </w:r>
            <w:r>
              <w:rPr>
                <w:rFonts w:hint="eastAsia" w:ascii="宋体" w:hAnsi="宋体" w:eastAsia="宋体" w:cs="宋体"/>
                <w:b w:val="0"/>
                <w:bCs/>
                <w:color w:val="auto"/>
                <w:sz w:val="24"/>
                <w:szCs w:val="24"/>
                <w:highlight w:val="none"/>
                <w:lang w:val="en-US" w:eastAsia="zh-CN"/>
              </w:rPr>
              <w:t>由</w:t>
            </w:r>
            <w:r>
              <w:rPr>
                <w:rFonts w:hint="eastAsia" w:ascii="宋体" w:hAnsi="宋体" w:eastAsia="宋体" w:cs="宋体"/>
                <w:color w:val="auto"/>
                <w:sz w:val="24"/>
                <w:highlight w:val="none"/>
              </w:rPr>
              <w:t>报价、商务、技术文件</w:t>
            </w:r>
            <w:r>
              <w:rPr>
                <w:rFonts w:hint="eastAsia" w:ascii="宋体" w:hAnsi="宋体" w:eastAsia="宋体" w:cs="宋体"/>
                <w:color w:val="auto"/>
                <w:sz w:val="24"/>
                <w:highlight w:val="none"/>
                <w:lang w:val="en-US" w:eastAsia="zh-CN"/>
              </w:rPr>
              <w:t>三部分组成</w:t>
            </w:r>
          </w:p>
          <w:p>
            <w:pPr>
              <w:pStyle w:val="17"/>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响应文件数量：</w:t>
            </w:r>
            <w:r>
              <w:rPr>
                <w:rFonts w:hint="eastAsia" w:ascii="宋体" w:hAnsi="宋体" w:eastAsia="宋体" w:cs="宋体"/>
                <w:color w:val="auto"/>
                <w:sz w:val="24"/>
                <w:highlight w:val="none"/>
              </w:rPr>
              <w:t>正本</w:t>
            </w:r>
            <w:r>
              <w:rPr>
                <w:rFonts w:hint="eastAsia" w:ascii="宋体" w:hAnsi="宋体" w:eastAsia="宋体" w:cs="宋体"/>
                <w:color w:val="auto"/>
                <w:sz w:val="24"/>
                <w:highlight w:val="none"/>
                <w:u w:val="single"/>
              </w:rPr>
              <w:t xml:space="preserve"> 壹 </w:t>
            </w:r>
            <w:r>
              <w:rPr>
                <w:rFonts w:hint="eastAsia" w:ascii="宋体" w:hAnsi="宋体" w:eastAsia="宋体" w:cs="宋体"/>
                <w:color w:val="auto"/>
                <w:sz w:val="24"/>
                <w:highlight w:val="none"/>
              </w:rPr>
              <w:t>份；副本</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份（报价、商务、技术文件合并装订成册）</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）装订要求：所有响应文件必须密封封装在响应（</w:t>
            </w:r>
            <w:r>
              <w:rPr>
                <w:rFonts w:hint="eastAsia" w:ascii="宋体" w:hAnsi="宋体" w:eastAsia="宋体" w:cs="宋体"/>
                <w:b/>
                <w:color w:val="auto"/>
                <w:sz w:val="24"/>
                <w:szCs w:val="24"/>
                <w:highlight w:val="none"/>
                <w:lang w:eastAsia="zh-CN"/>
              </w:rPr>
              <w:t>磋商</w:t>
            </w:r>
            <w:r>
              <w:rPr>
                <w:rFonts w:hint="eastAsia" w:ascii="宋体" w:hAnsi="宋体" w:eastAsia="宋体" w:cs="宋体"/>
                <w:b/>
                <w:color w:val="auto"/>
                <w:sz w:val="24"/>
                <w:szCs w:val="24"/>
                <w:highlight w:val="none"/>
              </w:rPr>
              <w:t>）文件袋或纸箱中（如体积过大可分为几个包装）。</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）请供应商提前准备《最终报价承诺书》，无需装订，磋商时如有要求再另行单独密封递交至磋商小组（格式详见第五章《响应文件组成》）。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jc w:val="center"/>
        </w:trPr>
        <w:tc>
          <w:tcPr>
            <w:tcW w:w="79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1</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信用查询</w:t>
            </w:r>
          </w:p>
        </w:tc>
        <w:tc>
          <w:tcPr>
            <w:tcW w:w="605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采购人或采购代理机构通过“信用中国”网站(www. creditchina. gov.cn)、中国政府采购网(www.ccgp.gov.cn)查询相关主体信用记录。本次查询的信用记录打印的网页版将留存在</w:t>
            </w:r>
            <w:r>
              <w:rPr>
                <w:rFonts w:hint="eastAsia" w:ascii="宋体" w:hAnsi="宋体" w:eastAsia="宋体" w:cs="宋体"/>
                <w:color w:val="auto"/>
                <w:kern w:val="0"/>
                <w:sz w:val="24"/>
                <w:szCs w:val="24"/>
                <w:highlight w:val="none"/>
                <w:lang w:eastAsia="zh-CN"/>
              </w:rPr>
              <w:t>评审</w:t>
            </w:r>
            <w:r>
              <w:rPr>
                <w:rFonts w:hint="eastAsia" w:ascii="宋体" w:hAnsi="宋体" w:eastAsia="宋体" w:cs="宋体"/>
                <w:color w:val="auto"/>
                <w:kern w:val="0"/>
                <w:sz w:val="24"/>
                <w:szCs w:val="24"/>
                <w:highlight w:val="none"/>
              </w:rPr>
              <w:t>报告中。</w:t>
            </w:r>
            <w:r>
              <w:rPr>
                <w:rFonts w:hint="eastAsia" w:ascii="宋体" w:hAnsi="宋体" w:eastAsia="宋体" w:cs="宋体"/>
                <w:b/>
                <w:color w:val="auto"/>
                <w:kern w:val="0"/>
                <w:sz w:val="24"/>
                <w:szCs w:val="24"/>
                <w:highlight w:val="none"/>
              </w:rPr>
              <w:t>本项目信用记录查询截止时点为</w:t>
            </w:r>
            <w:r>
              <w:rPr>
                <w:rFonts w:hint="eastAsia" w:ascii="宋体" w:hAnsi="宋体" w:eastAsia="宋体" w:cs="宋体"/>
                <w:b/>
                <w:color w:val="auto"/>
                <w:kern w:val="0"/>
                <w:sz w:val="24"/>
                <w:szCs w:val="24"/>
                <w:highlight w:val="none"/>
                <w:u w:val="single"/>
                <w:lang w:eastAsia="zh-CN"/>
              </w:rPr>
              <w:t>文件开启</w:t>
            </w:r>
            <w:r>
              <w:rPr>
                <w:rFonts w:hint="eastAsia" w:ascii="宋体" w:hAnsi="宋体" w:eastAsia="宋体" w:cs="宋体"/>
                <w:b/>
                <w:color w:val="auto"/>
                <w:kern w:val="0"/>
                <w:sz w:val="24"/>
                <w:szCs w:val="24"/>
                <w:highlight w:val="none"/>
                <w:u w:val="single"/>
              </w:rPr>
              <w:t>当日。</w:t>
            </w:r>
            <w:r>
              <w:rPr>
                <w:rFonts w:hint="eastAsia" w:ascii="宋体" w:hAnsi="宋体" w:eastAsia="宋体" w:cs="宋体"/>
                <w:b/>
                <w:color w:val="auto"/>
                <w:kern w:val="0"/>
                <w:sz w:val="24"/>
                <w:szCs w:val="24"/>
                <w:highlight w:val="none"/>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79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报价及费用</w:t>
            </w:r>
          </w:p>
        </w:tc>
        <w:tc>
          <w:tcPr>
            <w:tcW w:w="605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投标报价为</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服务费</w:t>
            </w:r>
            <w:r>
              <w:rPr>
                <w:rFonts w:hint="eastAsia" w:ascii="宋体" w:hAnsi="宋体" w:cs="宋体"/>
                <w:color w:val="auto"/>
                <w:sz w:val="24"/>
                <w:szCs w:val="24"/>
                <w:highlight w:val="no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4" w:hRule="atLeast"/>
          <w:jc w:val="center"/>
        </w:trPr>
        <w:tc>
          <w:tcPr>
            <w:tcW w:w="79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3</w:t>
            </w:r>
          </w:p>
        </w:tc>
        <w:tc>
          <w:tcPr>
            <w:tcW w:w="1735"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评定成交</w:t>
            </w:r>
          </w:p>
          <w:p>
            <w:pPr>
              <w:pStyle w:val="23"/>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的标准</w:t>
            </w:r>
          </w:p>
        </w:tc>
        <w:tc>
          <w:tcPr>
            <w:tcW w:w="6057"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1.采购人在</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报告确定的成交候选人名单中按顺序确定成交供应商。</w:t>
            </w:r>
          </w:p>
          <w:p>
            <w:pPr>
              <w:pStyle w:val="23"/>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 xml:space="preserve"> 2.成交候选人并列的，按照以下方式确定成交供应商。</w:t>
            </w:r>
          </w:p>
          <w:p>
            <w:pPr>
              <w:pStyle w:val="23"/>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①最低评标价法：</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随机抽取</w:t>
            </w:r>
          </w:p>
          <w:p>
            <w:pPr>
              <w:pStyle w:val="23"/>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□其他____________________</w:t>
            </w:r>
          </w:p>
          <w:p>
            <w:pPr>
              <w:pStyle w:val="23"/>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 xml:space="preserve"> ②综合评分法：</w:t>
            </w:r>
          </w:p>
          <w:p>
            <w:pPr>
              <w:pStyle w:val="23"/>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随机抽取</w:t>
            </w:r>
          </w:p>
          <w:p>
            <w:pPr>
              <w:pStyle w:val="23"/>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u w:val="single"/>
              </w:rPr>
              <w:t>得分相同时，以磋商报价由低到高顺序排列；得分相同且</w:t>
            </w:r>
            <w:r>
              <w:rPr>
                <w:rFonts w:hint="eastAsia" w:hAnsi="宋体" w:cs="宋体"/>
                <w:color w:val="auto"/>
                <w:sz w:val="24"/>
                <w:szCs w:val="24"/>
                <w:highlight w:val="none"/>
                <w:u w:val="single"/>
                <w:lang w:eastAsia="zh-CN"/>
              </w:rPr>
              <w:t>最终</w:t>
            </w:r>
            <w:r>
              <w:rPr>
                <w:rFonts w:hint="eastAsia" w:ascii="宋体" w:hAnsi="宋体" w:eastAsia="宋体" w:cs="宋体"/>
                <w:color w:val="auto"/>
                <w:sz w:val="24"/>
                <w:szCs w:val="24"/>
                <w:highlight w:val="none"/>
                <w:u w:val="single"/>
              </w:rPr>
              <w:t>磋商报价相同的，</w:t>
            </w:r>
            <w:r>
              <w:rPr>
                <w:rFonts w:hint="eastAsia" w:ascii="宋体" w:hAnsi="宋体" w:eastAsia="宋体" w:cs="宋体"/>
                <w:bCs/>
                <w:color w:val="auto"/>
                <w:sz w:val="24"/>
                <w:szCs w:val="24"/>
                <w:highlight w:val="none"/>
              </w:rPr>
              <w:t>依次按技术服务能力分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业绩和信誉分</w:t>
            </w:r>
            <w:r>
              <w:rPr>
                <w:rFonts w:hint="eastAsia" w:ascii="宋体" w:hAnsi="宋体" w:eastAsia="宋体" w:cs="宋体"/>
                <w:bCs/>
                <w:color w:val="auto"/>
                <w:sz w:val="24"/>
                <w:szCs w:val="24"/>
                <w:highlight w:val="none"/>
              </w:rPr>
              <w:t>由高到低</w:t>
            </w:r>
            <w:r>
              <w:rPr>
                <w:rFonts w:hint="eastAsia" w:ascii="宋体" w:hAnsi="宋体" w:eastAsia="宋体" w:cs="宋体"/>
                <w:bCs/>
                <w:color w:val="auto"/>
                <w:sz w:val="24"/>
                <w:szCs w:val="24"/>
                <w:highlight w:val="none"/>
                <w:lang w:eastAsia="zh-CN"/>
              </w:rPr>
              <w:t>排列，如分数还</w:t>
            </w:r>
            <w:r>
              <w:rPr>
                <w:rFonts w:hint="eastAsia" w:hAnsi="宋体" w:cs="宋体"/>
                <w:bCs/>
                <w:color w:val="auto"/>
                <w:sz w:val="24"/>
                <w:szCs w:val="24"/>
                <w:highlight w:val="none"/>
                <w:lang w:eastAsia="zh-CN"/>
              </w:rPr>
              <w:t>出现</w:t>
            </w:r>
            <w:r>
              <w:rPr>
                <w:rFonts w:hint="eastAsia" w:ascii="宋体" w:hAnsi="宋体" w:eastAsia="宋体" w:cs="宋体"/>
                <w:bCs/>
                <w:color w:val="auto"/>
                <w:sz w:val="24"/>
                <w:szCs w:val="24"/>
                <w:highlight w:val="none"/>
                <w:lang w:eastAsia="zh-CN"/>
              </w:rPr>
              <w:t>相同，再依次按</w:t>
            </w:r>
            <w:r>
              <w:rPr>
                <w:rFonts w:hint="eastAsia" w:ascii="宋体" w:hAnsi="宋体" w:eastAsia="宋体" w:cs="宋体"/>
                <w:bCs/>
                <w:color w:val="auto"/>
                <w:sz w:val="24"/>
                <w:szCs w:val="24"/>
                <w:highlight w:val="none"/>
                <w:lang w:val="en-US" w:eastAsia="zh-CN"/>
              </w:rPr>
              <w:t>服务项目实施方案、拟投入管理与服务人员素质能力、售后服务承诺、企业信息化实力分排列</w:t>
            </w:r>
            <w:r>
              <w:rPr>
                <w:rFonts w:hint="eastAsia" w:ascii="宋体" w:hAnsi="宋体" w:eastAsia="宋体" w:cs="宋体"/>
                <w:color w:val="auto"/>
                <w:sz w:val="24"/>
                <w:szCs w:val="24"/>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79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4</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提供服务的时间、地点</w:t>
            </w:r>
          </w:p>
        </w:tc>
        <w:tc>
          <w:tcPr>
            <w:tcW w:w="605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提供服务的时间：签订合同之日起</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提供服务的地点：</w:t>
            </w:r>
            <w:r>
              <w:rPr>
                <w:rFonts w:hint="eastAsia" w:ascii="宋体" w:hAnsi="宋体" w:cs="宋体"/>
                <w:color w:val="auto"/>
                <w:sz w:val="24"/>
                <w:szCs w:val="24"/>
                <w:highlight w:val="none"/>
                <w:lang w:val="en-US" w:eastAsia="zh-CN"/>
              </w:rPr>
              <w:t>采购人约定地点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79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5</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采购资金的支付方式和时间</w:t>
            </w:r>
          </w:p>
        </w:tc>
        <w:tc>
          <w:tcPr>
            <w:tcW w:w="605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项目申报成功后</w:t>
            </w:r>
            <w:r>
              <w:rPr>
                <w:rFonts w:hint="eastAsia" w:ascii="宋体" w:hAnsi="宋体" w:eastAsia="宋体" w:cs="宋体"/>
                <w:bCs/>
                <w:color w:val="auto"/>
                <w:sz w:val="24"/>
                <w:szCs w:val="24"/>
                <w:highlight w:val="none"/>
              </w:rPr>
              <w:t>给付</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实际</w:t>
            </w:r>
            <w:r>
              <w:rPr>
                <w:rFonts w:hint="eastAsia" w:ascii="宋体" w:hAnsi="宋体" w:eastAsia="宋体" w:cs="宋体"/>
                <w:bCs/>
                <w:color w:val="auto"/>
                <w:sz w:val="24"/>
                <w:szCs w:val="24"/>
                <w:highlight w:val="none"/>
                <w:lang w:eastAsia="zh-CN"/>
              </w:rPr>
              <w:t>应有</w:t>
            </w:r>
            <w:r>
              <w:rPr>
                <w:rFonts w:hint="eastAsia" w:ascii="宋体" w:hAnsi="宋体" w:eastAsia="宋体" w:cs="宋体"/>
                <w:bCs/>
                <w:color w:val="auto"/>
                <w:sz w:val="24"/>
                <w:szCs w:val="24"/>
                <w:highlight w:val="none"/>
              </w:rPr>
              <w:t>的</w:t>
            </w:r>
            <w:r>
              <w:rPr>
                <w:rFonts w:hint="eastAsia" w:ascii="宋体" w:hAnsi="宋体" w:eastAsia="宋体" w:cs="宋体"/>
                <w:bCs/>
                <w:color w:val="auto"/>
                <w:sz w:val="24"/>
                <w:szCs w:val="24"/>
                <w:highlight w:val="none"/>
                <w:lang w:eastAsia="zh-CN"/>
              </w:rPr>
              <w:t>服务</w:t>
            </w:r>
            <w:r>
              <w:rPr>
                <w:rFonts w:hint="eastAsia" w:ascii="宋体" w:hAnsi="宋体" w:eastAsia="宋体" w:cs="宋体"/>
                <w:bCs/>
                <w:color w:val="auto"/>
                <w:sz w:val="24"/>
                <w:szCs w:val="24"/>
                <w:highlight w:val="none"/>
              </w:rPr>
              <w:t>费用</w:t>
            </w:r>
            <w:r>
              <w:rPr>
                <w:rFonts w:hint="eastAsia" w:ascii="宋体" w:hAnsi="宋体" w:eastAsia="宋体" w:cs="宋体"/>
                <w:bCs/>
                <w:color w:val="auto"/>
                <w:sz w:val="24"/>
                <w:szCs w:val="24"/>
                <w:highlight w:val="none"/>
                <w:lang w:eastAsia="zh-CN"/>
              </w:rPr>
              <w:t>作</w:t>
            </w:r>
            <w:r>
              <w:rPr>
                <w:rFonts w:hint="eastAsia" w:ascii="宋体" w:hAnsi="宋体" w:eastAsia="宋体" w:cs="宋体"/>
                <w:bCs/>
                <w:color w:val="auto"/>
                <w:sz w:val="24"/>
                <w:szCs w:val="24"/>
                <w:highlight w:val="none"/>
              </w:rPr>
              <w:t>为</w:t>
            </w:r>
            <w:r>
              <w:rPr>
                <w:rFonts w:hint="eastAsia" w:ascii="宋体" w:hAnsi="宋体" w:eastAsia="宋体" w:cs="宋体"/>
                <w:bCs/>
                <w:color w:val="auto"/>
                <w:sz w:val="24"/>
                <w:szCs w:val="24"/>
                <w:highlight w:val="none"/>
                <w:lang w:eastAsia="zh-CN"/>
              </w:rPr>
              <w:t>结</w:t>
            </w:r>
            <w:r>
              <w:rPr>
                <w:rFonts w:hint="eastAsia" w:ascii="宋体" w:hAnsi="宋体" w:eastAsia="宋体" w:cs="宋体"/>
                <w:bCs/>
                <w:color w:val="auto"/>
                <w:sz w:val="24"/>
                <w:szCs w:val="24"/>
                <w:highlight w:val="none"/>
              </w:rPr>
              <w:t>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79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16</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其他规定</w:t>
            </w:r>
          </w:p>
        </w:tc>
        <w:tc>
          <w:tcPr>
            <w:tcW w:w="605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解释：本</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文件的解释权属于采购人。</w:t>
            </w:r>
          </w:p>
        </w:tc>
      </w:tr>
    </w:tbl>
    <w:p>
      <w:pPr>
        <w:ind w:firstLine="480" w:firstLineChars="200"/>
        <w:jc w:val="center"/>
        <w:rPr>
          <w:rFonts w:hint="eastAsia"/>
          <w:b/>
          <w:bCs/>
          <w:color w:val="auto"/>
          <w:sz w:val="28"/>
          <w:szCs w:val="28"/>
          <w:highlight w:val="none"/>
        </w:rPr>
      </w:pPr>
      <w:r>
        <w:rPr>
          <w:rFonts w:hint="eastAsia" w:ascii="宋体" w:hAnsi="宋体" w:eastAsia="宋体" w:cs="宋体"/>
          <w:color w:val="auto"/>
          <w:kern w:val="0"/>
          <w:szCs w:val="21"/>
          <w:highlight w:val="none"/>
        </w:rPr>
        <w:br w:type="page"/>
      </w:r>
      <w:r>
        <w:rPr>
          <w:rFonts w:hint="eastAsia"/>
          <w:b/>
          <w:bCs/>
          <w:color w:val="auto"/>
          <w:sz w:val="28"/>
          <w:szCs w:val="28"/>
          <w:highlight w:val="none"/>
        </w:rPr>
        <w:t>磋商须知正文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一、总则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1.定义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　“采购人”是指依法进行</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的国家机关、事业单位、团体组织。本次</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的采购人名称、地址、电话、联系人</w:t>
      </w:r>
      <w:r>
        <w:rPr>
          <w:rFonts w:hint="eastAsia" w:ascii="宋体" w:hAnsi="宋体" w:cs="宋体"/>
          <w:color w:val="auto"/>
          <w:kern w:val="0"/>
          <w:szCs w:val="21"/>
          <w:highlight w:val="none"/>
          <w:lang w:eastAsia="zh-CN"/>
        </w:rPr>
        <w:t>详见第一章</w:t>
      </w:r>
      <w:r>
        <w:rPr>
          <w:rFonts w:hint="eastAsia" w:ascii="宋体" w:hAnsi="宋体" w:eastAsia="宋体" w:cs="宋体"/>
          <w:color w:val="auto"/>
          <w:kern w:val="0"/>
          <w:szCs w:val="21"/>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　“供应商”是指响应磋商文件要求、参加磋商采购的法人、其他组织或者自然人。本次</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项目邀请的供应商通过磋商须知前附表所述方式产生。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　“磋商小组”</w:t>
      </w:r>
      <w:r>
        <w:rPr>
          <w:rFonts w:hint="eastAsia" w:ascii="宋体" w:hAnsi="宋体" w:eastAsia="宋体" w:cs="宋体"/>
          <w:color w:val="auto"/>
          <w:kern w:val="0"/>
          <w:szCs w:val="21"/>
          <w:highlight w:val="none"/>
          <w:lang w:eastAsia="zh-CN"/>
        </w:rPr>
        <w:t>由</w:t>
      </w:r>
      <w:r>
        <w:rPr>
          <w:rFonts w:hint="eastAsia" w:ascii="宋体" w:hAnsi="宋体" w:eastAsia="宋体" w:cs="宋体"/>
          <w:color w:val="auto"/>
          <w:kern w:val="0"/>
          <w:szCs w:val="21"/>
          <w:highlight w:val="none"/>
        </w:rPr>
        <w:t>3人以上单数的磋商成员</w:t>
      </w:r>
      <w:r>
        <w:rPr>
          <w:rFonts w:hint="eastAsia" w:ascii="宋体" w:hAnsi="宋体" w:eastAsia="宋体" w:cs="宋体"/>
          <w:color w:val="auto"/>
          <w:kern w:val="0"/>
          <w:szCs w:val="21"/>
          <w:highlight w:val="none"/>
          <w:lang w:eastAsia="zh-CN"/>
        </w:rPr>
        <w:t>组建</w:t>
      </w:r>
      <w:r>
        <w:rPr>
          <w:rFonts w:hint="eastAsia" w:ascii="宋体" w:hAnsi="宋体" w:eastAsia="宋体" w:cs="宋体"/>
          <w:color w:val="auto"/>
          <w:kern w:val="0"/>
          <w:szCs w:val="21"/>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“服务”是指除货物和工程以外的其他</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对象。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2.采购项目预算</w:t>
      </w:r>
      <w:r>
        <w:rPr>
          <w:rFonts w:hint="eastAsia" w:ascii="宋体" w:hAnsi="宋体" w:eastAsia="宋体" w:cs="宋体"/>
          <w:color w:val="auto"/>
          <w:kern w:val="0"/>
          <w:szCs w:val="21"/>
          <w:highlight w:val="none"/>
          <w:lang w:eastAsia="zh-CN"/>
        </w:rPr>
        <w:t>及最高限价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本项目采购资金</w:t>
      </w:r>
      <w:r>
        <w:rPr>
          <w:rFonts w:hint="eastAsia" w:ascii="宋体" w:hAnsi="宋体" w:eastAsia="宋体" w:cs="宋体"/>
          <w:color w:val="auto"/>
          <w:kern w:val="0"/>
          <w:szCs w:val="21"/>
          <w:highlight w:val="none"/>
          <w:lang w:eastAsia="zh-CN"/>
        </w:rPr>
        <w:t>的</w:t>
      </w:r>
      <w:r>
        <w:rPr>
          <w:rFonts w:hint="eastAsia" w:ascii="宋体" w:hAnsi="宋体" w:eastAsia="宋体" w:cs="宋体"/>
          <w:color w:val="auto"/>
          <w:kern w:val="0"/>
          <w:szCs w:val="21"/>
          <w:highlight w:val="none"/>
        </w:rPr>
        <w:t>预算金额见磋商须知前附表。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2.2  </w:t>
      </w:r>
      <w:r>
        <w:rPr>
          <w:rFonts w:hint="eastAsia" w:ascii="宋体" w:hAnsi="宋体" w:eastAsia="宋体" w:cs="宋体"/>
          <w:color w:val="auto"/>
          <w:kern w:val="0"/>
          <w:szCs w:val="21"/>
          <w:highlight w:val="none"/>
        </w:rPr>
        <w:t>本项目最高限价要求见磋商须知前附表。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★3.供应商的资格要求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供应商应当符合磋商须知前附表中规定的下列资格条件要求：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　供应商参加本采购活动应当具备下列条件：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(1)具有独立承担民事责任的能力；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法律、行政法规规定的其他条件。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3.1.2　其他特定资格条件。(详见</w:t>
      </w:r>
      <w:r>
        <w:rPr>
          <w:rFonts w:hint="eastAsia" w:ascii="宋体" w:hAnsi="宋体" w:eastAsia="宋体" w:cs="宋体"/>
          <w:color w:val="auto"/>
          <w:kern w:val="0"/>
          <w:szCs w:val="21"/>
          <w:highlight w:val="none"/>
          <w:lang w:val="en-US" w:eastAsia="zh-CN"/>
        </w:rPr>
        <w:t>供应</w:t>
      </w:r>
      <w:r>
        <w:rPr>
          <w:rFonts w:hint="eastAsia" w:ascii="宋体" w:hAnsi="宋体" w:eastAsia="宋体" w:cs="宋体"/>
          <w:color w:val="auto"/>
          <w:kern w:val="0"/>
          <w:szCs w:val="21"/>
          <w:highlight w:val="none"/>
        </w:rPr>
        <w:t>商须知前附表)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供应商存在下列情形之一的不得参加磋商：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　单位负责人为同一人或者存在直接控股、管理关系的不同供应商，不得参加同一合同项下的</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活动。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3.2.2因违法经营受到刑事处罚或者责令停产停业、吊销许可证或者执照、较大数额罚款等行政处罚或者存在财政部门认定的其他重大违法记录，以及在财政部门禁止参加政府采购活动期限以内的。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4.参与磋商的费用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　供应商应自行承担所有</w:t>
      </w:r>
      <w:r>
        <w:rPr>
          <w:rFonts w:hint="eastAsia" w:ascii="宋体" w:hAnsi="宋体" w:eastAsia="宋体" w:cs="宋体"/>
          <w:color w:val="auto"/>
          <w:kern w:val="0"/>
          <w:szCs w:val="21"/>
          <w:highlight w:val="none"/>
          <w:lang w:eastAsia="zh-CN"/>
        </w:rPr>
        <w:t>参与</w:t>
      </w:r>
      <w:r>
        <w:rPr>
          <w:rFonts w:hint="eastAsia" w:ascii="宋体" w:hAnsi="宋体" w:eastAsia="宋体" w:cs="宋体"/>
          <w:color w:val="auto"/>
          <w:kern w:val="0"/>
          <w:szCs w:val="21"/>
          <w:highlight w:val="none"/>
        </w:rPr>
        <w:t>磋商的</w:t>
      </w:r>
      <w:r>
        <w:rPr>
          <w:rFonts w:hint="eastAsia" w:ascii="宋体" w:hAnsi="宋体" w:eastAsia="宋体" w:cs="宋体"/>
          <w:color w:val="auto"/>
          <w:kern w:val="0"/>
          <w:szCs w:val="21"/>
          <w:highlight w:val="none"/>
          <w:lang w:eastAsia="zh-CN"/>
        </w:rPr>
        <w:t>相关</w:t>
      </w:r>
      <w:r>
        <w:rPr>
          <w:rFonts w:hint="eastAsia" w:ascii="宋体" w:hAnsi="宋体" w:eastAsia="宋体" w:cs="宋体"/>
          <w:color w:val="auto"/>
          <w:kern w:val="0"/>
          <w:szCs w:val="21"/>
          <w:highlight w:val="none"/>
        </w:rPr>
        <w:t>费用</w:t>
      </w:r>
      <w:r>
        <w:rPr>
          <w:rFonts w:hint="eastAsia" w:ascii="宋体" w:hAnsi="宋体" w:eastAsia="宋体" w:cs="宋体"/>
          <w:color w:val="auto"/>
          <w:kern w:val="0"/>
          <w:szCs w:val="21"/>
          <w:highlight w:val="none"/>
          <w:lang w:eastAsia="zh-CN"/>
        </w:rPr>
        <w:t>，不论磋商的结果如何，采购人无义务和责任承担这些费用</w:t>
      </w:r>
      <w:r>
        <w:rPr>
          <w:rFonts w:hint="eastAsia" w:ascii="宋体" w:hAnsi="宋体" w:eastAsia="宋体" w:cs="宋体"/>
          <w:color w:val="auto"/>
          <w:kern w:val="0"/>
          <w:szCs w:val="21"/>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★5.授权委托</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供应商代表不是供应商</w:t>
      </w:r>
      <w:r>
        <w:rPr>
          <w:rFonts w:hint="eastAsia" w:ascii="宋体" w:hAnsi="宋体" w:eastAsia="宋体" w:cs="宋体"/>
          <w:color w:val="auto"/>
          <w:kern w:val="0"/>
          <w:szCs w:val="21"/>
          <w:highlight w:val="none"/>
          <w:lang w:eastAsia="zh-CN"/>
        </w:rPr>
        <w:t>法定代表人（负责人）</w:t>
      </w:r>
      <w:r>
        <w:rPr>
          <w:rFonts w:hint="eastAsia" w:ascii="宋体" w:hAnsi="宋体" w:eastAsia="宋体" w:cs="宋体"/>
          <w:color w:val="auto"/>
          <w:kern w:val="0"/>
          <w:szCs w:val="21"/>
          <w:highlight w:val="none"/>
        </w:rPr>
        <w:t>的，应</w:t>
      </w:r>
      <w:r>
        <w:rPr>
          <w:rFonts w:hint="eastAsia" w:ascii="宋体" w:hAnsi="宋体" w:eastAsia="宋体" w:cs="宋体"/>
          <w:color w:val="auto"/>
          <w:kern w:val="0"/>
          <w:szCs w:val="21"/>
          <w:highlight w:val="none"/>
          <w:lang w:eastAsia="zh-CN"/>
        </w:rPr>
        <w:t>当</w:t>
      </w:r>
      <w:r>
        <w:rPr>
          <w:rFonts w:hint="eastAsia" w:ascii="宋体" w:hAnsi="宋体" w:eastAsia="宋体" w:cs="宋体"/>
          <w:color w:val="auto"/>
          <w:kern w:val="0"/>
          <w:szCs w:val="21"/>
          <w:highlight w:val="none"/>
        </w:rPr>
        <w:t>持有</w:t>
      </w:r>
      <w:r>
        <w:rPr>
          <w:rFonts w:hint="eastAsia" w:ascii="宋体" w:hAnsi="宋体" w:eastAsia="宋体" w:cs="宋体"/>
          <w:color w:val="auto"/>
          <w:kern w:val="0"/>
          <w:szCs w:val="21"/>
          <w:highlight w:val="none"/>
          <w:lang w:eastAsia="zh-CN"/>
        </w:rPr>
        <w:t>法定代表人（负责人）身份证复印件和</w:t>
      </w:r>
      <w:r>
        <w:rPr>
          <w:rFonts w:hint="eastAsia" w:ascii="宋体" w:hAnsi="宋体" w:eastAsia="宋体" w:cs="宋体"/>
          <w:color w:val="auto"/>
          <w:kern w:val="0"/>
          <w:szCs w:val="21"/>
          <w:highlight w:val="none"/>
        </w:rPr>
        <w:t>授权</w:t>
      </w:r>
      <w:r>
        <w:rPr>
          <w:rFonts w:hint="eastAsia" w:ascii="宋体" w:hAnsi="宋体" w:cs="宋体"/>
          <w:color w:val="auto"/>
          <w:kern w:val="0"/>
          <w:szCs w:val="21"/>
          <w:highlight w:val="none"/>
          <w:lang w:eastAsia="zh-CN"/>
        </w:rPr>
        <w:t>委托</w:t>
      </w:r>
      <w:r>
        <w:rPr>
          <w:rFonts w:hint="eastAsia" w:ascii="宋体" w:hAnsi="宋体" w:eastAsia="宋体" w:cs="宋体"/>
          <w:color w:val="auto"/>
          <w:kern w:val="0"/>
          <w:szCs w:val="21"/>
          <w:highlight w:val="none"/>
        </w:rPr>
        <w:t>书，</w:t>
      </w:r>
      <w:r>
        <w:rPr>
          <w:rFonts w:hint="eastAsia" w:ascii="宋体" w:hAnsi="宋体" w:eastAsia="宋体" w:cs="宋体"/>
          <w:color w:val="auto"/>
          <w:kern w:val="0"/>
          <w:szCs w:val="21"/>
          <w:highlight w:val="none"/>
          <w:lang w:eastAsia="zh-CN"/>
        </w:rPr>
        <w:t>同时提供供应商代表的身份证原件及复印件</w:t>
      </w:r>
      <w:r>
        <w:rPr>
          <w:rFonts w:hint="eastAsia" w:ascii="宋体" w:hAnsi="宋体" w:eastAsia="宋体" w:cs="宋体"/>
          <w:color w:val="auto"/>
          <w:kern w:val="0"/>
          <w:szCs w:val="21"/>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6.联合体形式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　本项目是否接受联合体参与及相关要求见</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须知前附表。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7.项目现场勘察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本项目是否组织现场勘察见</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须知前附表。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本项目的详细要求见</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须知前附表。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二、磋商文件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8</w:t>
      </w:r>
      <w:r>
        <w:rPr>
          <w:rFonts w:hint="eastAsia" w:ascii="宋体" w:hAnsi="宋体" w:eastAsia="宋体" w:cs="宋体"/>
          <w:color w:val="auto"/>
          <w:kern w:val="0"/>
          <w:szCs w:val="21"/>
          <w:highlight w:val="none"/>
        </w:rPr>
        <w:t>.磋商文件的</w:t>
      </w:r>
      <w:r>
        <w:rPr>
          <w:rFonts w:hint="eastAsia" w:ascii="宋体" w:hAnsi="宋体" w:eastAsia="宋体" w:cs="宋体"/>
          <w:color w:val="auto"/>
          <w:kern w:val="0"/>
          <w:szCs w:val="21"/>
          <w:highlight w:val="none"/>
          <w:lang w:eastAsia="zh-CN"/>
        </w:rPr>
        <w:t>构成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eastAsia="宋体" w:cs="宋体"/>
          <w:color w:val="auto"/>
          <w:kern w:val="0"/>
          <w:szCs w:val="21"/>
          <w:highlight w:val="none"/>
        </w:rPr>
        <w:t>.1　磋商文件</w:t>
      </w:r>
      <w:r>
        <w:rPr>
          <w:rFonts w:hint="eastAsia" w:ascii="宋体" w:hAnsi="宋体" w:eastAsia="宋体" w:cs="宋体"/>
          <w:color w:val="auto"/>
          <w:kern w:val="0"/>
          <w:szCs w:val="21"/>
          <w:highlight w:val="none"/>
          <w:lang w:eastAsia="zh-CN"/>
        </w:rPr>
        <w:t>各章节的内容如下</w:t>
      </w:r>
      <w:r>
        <w:rPr>
          <w:rFonts w:hint="eastAsia" w:ascii="宋体" w:hAnsi="宋体" w:eastAsia="宋体" w:cs="宋体"/>
          <w:color w:val="auto"/>
          <w:kern w:val="0"/>
          <w:szCs w:val="21"/>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第一章　磋商</w:t>
      </w:r>
      <w:r>
        <w:rPr>
          <w:rFonts w:hint="eastAsia" w:ascii="宋体" w:hAnsi="宋体" w:eastAsia="宋体" w:cs="宋体"/>
          <w:color w:val="auto"/>
          <w:kern w:val="0"/>
          <w:szCs w:val="21"/>
          <w:highlight w:val="none"/>
          <w:lang w:val="en-US" w:eastAsia="zh-CN"/>
        </w:rPr>
        <w:t>公告</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第二章　</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须知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第三章　评审方法及标准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w:t>
      </w:r>
      <w:r>
        <w:rPr>
          <w:rFonts w:hint="eastAsia" w:ascii="宋体" w:hAnsi="宋体" w:eastAsia="宋体" w:cs="宋体"/>
          <w:color w:val="auto"/>
          <w:kern w:val="0"/>
          <w:szCs w:val="21"/>
          <w:highlight w:val="none"/>
          <w:lang w:val="en-US" w:eastAsia="zh-CN"/>
        </w:rPr>
        <w:t>四</w:t>
      </w:r>
      <w:r>
        <w:rPr>
          <w:rFonts w:hint="eastAsia" w:ascii="宋体" w:hAnsi="宋体" w:eastAsia="宋体" w:cs="宋体"/>
          <w:color w:val="auto"/>
          <w:kern w:val="0"/>
          <w:szCs w:val="21"/>
          <w:highlight w:val="none"/>
        </w:rPr>
        <w:t>章　响应文件组成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w:t>
      </w:r>
      <w:r>
        <w:rPr>
          <w:rFonts w:hint="eastAsia" w:ascii="宋体" w:hAnsi="宋体" w:eastAsia="宋体" w:cs="宋体"/>
          <w:color w:val="auto"/>
          <w:kern w:val="0"/>
          <w:szCs w:val="21"/>
          <w:highlight w:val="none"/>
          <w:lang w:val="en-US" w:eastAsia="zh-CN"/>
        </w:rPr>
        <w:t>五</w:t>
      </w:r>
      <w:r>
        <w:rPr>
          <w:rFonts w:hint="eastAsia" w:ascii="宋体" w:hAnsi="宋体" w:eastAsia="宋体" w:cs="宋体"/>
          <w:color w:val="auto"/>
          <w:kern w:val="0"/>
          <w:szCs w:val="21"/>
          <w:highlight w:val="none"/>
        </w:rPr>
        <w:t>章　采购需求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highlight w:val="none"/>
        </w:rPr>
      </w:pPr>
      <w:r>
        <w:rPr>
          <w:rFonts w:hint="eastAsia" w:ascii="宋体" w:hAnsi="宋体" w:eastAsia="宋体" w:cs="宋体"/>
          <w:color w:val="auto"/>
          <w:kern w:val="0"/>
          <w:szCs w:val="21"/>
          <w:highlight w:val="none"/>
        </w:rPr>
        <w:t>第</w:t>
      </w:r>
      <w:r>
        <w:rPr>
          <w:rFonts w:hint="eastAsia" w:ascii="宋体" w:hAnsi="宋体" w:eastAsia="宋体" w:cs="宋体"/>
          <w:color w:val="auto"/>
          <w:kern w:val="0"/>
          <w:szCs w:val="21"/>
          <w:highlight w:val="none"/>
          <w:lang w:val="en-US" w:eastAsia="zh-CN"/>
        </w:rPr>
        <w:t>六</w:t>
      </w:r>
      <w:r>
        <w:rPr>
          <w:rFonts w:hint="eastAsia" w:ascii="宋体" w:hAnsi="宋体" w:eastAsia="宋体" w:cs="宋体"/>
          <w:color w:val="auto"/>
          <w:kern w:val="0"/>
          <w:szCs w:val="21"/>
          <w:highlight w:val="none"/>
        </w:rPr>
        <w:t>章　</w:t>
      </w:r>
      <w:r>
        <w:rPr>
          <w:rFonts w:hint="eastAsia" w:ascii="宋体" w:hAnsi="宋体" w:eastAsia="宋体" w:cs="宋体"/>
          <w:color w:val="auto"/>
          <w:kern w:val="0"/>
          <w:szCs w:val="21"/>
          <w:highlight w:val="none"/>
          <w:lang w:val="en-US" w:eastAsia="zh-CN"/>
        </w:rPr>
        <w:t>合同格式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磋商小组根据与供应商磋商情况可能实质性变动的内容，包括采购需求中的技术、服务要求以及合同草案条款，对磋商文件作出的实质性变动是磋商文件的有效组成部分。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　供应商应仔细阅读磋商文件的全部内容，按照磋商文件要求编制响应文件。任何对磋商文件的忽略或误解</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不能作为响应文件存在缺陷或瑕疵的理由，其风险由供应商承担。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9</w:t>
      </w:r>
      <w:r>
        <w:rPr>
          <w:rFonts w:hint="eastAsia" w:ascii="宋体" w:hAnsi="宋体" w:eastAsia="宋体" w:cs="宋体"/>
          <w:color w:val="auto"/>
          <w:kern w:val="0"/>
          <w:szCs w:val="21"/>
          <w:highlight w:val="none"/>
        </w:rPr>
        <w:t>.磋商文件的澄清或者修改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9</w:t>
      </w:r>
      <w:r>
        <w:rPr>
          <w:rFonts w:hint="eastAsia" w:ascii="宋体" w:hAnsi="宋体" w:eastAsia="宋体" w:cs="宋体"/>
          <w:color w:val="auto"/>
          <w:kern w:val="0"/>
          <w:szCs w:val="21"/>
          <w:highlight w:val="none"/>
        </w:rPr>
        <w:t>.1　在磋商须知前附表规定的提交首次响应文件截止之日前，采购人、采购代理机构可以对已发出的磋商文件进行必要的澄清或者修改。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9</w:t>
      </w:r>
      <w:r>
        <w:rPr>
          <w:rFonts w:hint="eastAsia" w:ascii="宋体" w:hAnsi="宋体" w:eastAsia="宋体" w:cs="宋体"/>
          <w:color w:val="auto"/>
          <w:kern w:val="0"/>
          <w:szCs w:val="21"/>
          <w:highlight w:val="none"/>
        </w:rPr>
        <w:t>.2　澄清或者修改的内容可能影响响应文件编制的，采购人、采购代理机构应当在磋商须知前附表规定的提交首次响应文件截止之日2</w:t>
      </w:r>
      <w:r>
        <w:rPr>
          <w:rFonts w:hint="eastAsia" w:ascii="宋体" w:hAnsi="宋体" w:eastAsia="宋体" w:cs="宋体"/>
          <w:color w:val="auto"/>
          <w:kern w:val="0"/>
          <w:szCs w:val="21"/>
          <w:highlight w:val="none"/>
          <w:lang w:eastAsia="zh-CN"/>
        </w:rPr>
        <w:t>个工作</w:t>
      </w:r>
      <w:r>
        <w:rPr>
          <w:rFonts w:hint="eastAsia" w:ascii="宋体" w:hAnsi="宋体" w:eastAsia="宋体" w:cs="宋体"/>
          <w:color w:val="auto"/>
          <w:kern w:val="0"/>
          <w:szCs w:val="21"/>
          <w:highlight w:val="none"/>
        </w:rPr>
        <w:t>日前，以书面形式通知所有接收磋商文件的供应商，不足2</w:t>
      </w:r>
      <w:r>
        <w:rPr>
          <w:rFonts w:hint="eastAsia" w:ascii="宋体" w:hAnsi="宋体" w:eastAsia="宋体" w:cs="宋体"/>
          <w:color w:val="auto"/>
          <w:kern w:val="0"/>
          <w:szCs w:val="21"/>
          <w:highlight w:val="none"/>
          <w:lang w:eastAsia="zh-CN"/>
        </w:rPr>
        <w:t>个工作</w:t>
      </w:r>
      <w:r>
        <w:rPr>
          <w:rFonts w:hint="eastAsia" w:ascii="宋体" w:hAnsi="宋体" w:eastAsia="宋体" w:cs="宋体"/>
          <w:color w:val="auto"/>
          <w:kern w:val="0"/>
          <w:szCs w:val="21"/>
          <w:highlight w:val="none"/>
        </w:rPr>
        <w:t>日的，顺延供应商提交首次响应文件截止时间。【此项目为目录外标准下项目】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9</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　澄清或者修改内容为磋商文件的组成部分</w:t>
      </w:r>
      <w:r>
        <w:rPr>
          <w:rFonts w:hint="eastAsia" w:ascii="宋体" w:hAnsi="宋体" w:eastAsia="宋体" w:cs="宋体"/>
          <w:color w:val="auto"/>
          <w:kern w:val="0"/>
          <w:szCs w:val="21"/>
          <w:highlight w:val="none"/>
          <w:lang w:eastAsia="zh-CN"/>
        </w:rPr>
        <w:t>，对所有领取了磋商文件的供应商均具有约束力</w:t>
      </w:r>
      <w:r>
        <w:rPr>
          <w:rFonts w:hint="eastAsia" w:ascii="宋体" w:hAnsi="宋体" w:eastAsia="宋体" w:cs="宋体"/>
          <w:color w:val="auto"/>
          <w:kern w:val="0"/>
          <w:szCs w:val="21"/>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10</w:t>
      </w:r>
      <w:r>
        <w:rPr>
          <w:rFonts w:hint="eastAsia" w:ascii="宋体" w:hAnsi="宋体" w:eastAsia="宋体" w:cs="宋体"/>
          <w:color w:val="auto"/>
          <w:kern w:val="0"/>
          <w:szCs w:val="21"/>
          <w:highlight w:val="none"/>
        </w:rPr>
        <w:t>.偏离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0</w:t>
      </w:r>
      <w:r>
        <w:rPr>
          <w:rFonts w:hint="eastAsia" w:ascii="宋体" w:hAnsi="宋体" w:eastAsia="宋体" w:cs="宋体"/>
          <w:color w:val="auto"/>
          <w:kern w:val="0"/>
          <w:szCs w:val="21"/>
          <w:highlight w:val="none"/>
        </w:rPr>
        <w:t>.1　本条所称偏离为</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eastAsia="zh-CN"/>
        </w:rPr>
        <w:t>磋商文件</w:t>
      </w:r>
      <w:r>
        <w:rPr>
          <w:rFonts w:hint="eastAsia" w:ascii="宋体" w:hAnsi="宋体" w:eastAsia="宋体" w:cs="宋体"/>
          <w:color w:val="auto"/>
          <w:kern w:val="0"/>
          <w:szCs w:val="21"/>
          <w:highlight w:val="none"/>
        </w:rPr>
        <w:t>的偏离，即完全响应磋商文件要求的为“无偏离”、不满足或不响应磋商文件要求的为“负偏离”、优于磋商文件要求的为“正偏离”。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0</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除法律、法规和规章规定外，</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文件中用“拒绝”“不接受”“无效”“不得”“必须”“应当”（仅限标注“★”）等文字规定或其他标注“★”符号的条款为实质性要求条款(即重要条款)，对其中任何一条不满足或不响应，在</w:t>
      </w:r>
      <w:r>
        <w:rPr>
          <w:rFonts w:hint="eastAsia" w:ascii="宋体" w:hAnsi="宋体" w:eastAsia="宋体" w:cs="宋体"/>
          <w:color w:val="auto"/>
          <w:kern w:val="0"/>
          <w:szCs w:val="21"/>
          <w:highlight w:val="none"/>
          <w:lang w:eastAsia="zh-CN"/>
        </w:rPr>
        <w:t>评审</w:t>
      </w:r>
      <w:r>
        <w:rPr>
          <w:rFonts w:hint="eastAsia" w:ascii="宋体" w:hAnsi="宋体" w:eastAsia="宋体" w:cs="宋体"/>
          <w:color w:val="auto"/>
          <w:kern w:val="0"/>
          <w:szCs w:val="21"/>
          <w:highlight w:val="none"/>
        </w:rPr>
        <w:t>时将其视为无效</w:t>
      </w:r>
      <w:r>
        <w:rPr>
          <w:rFonts w:hint="eastAsia" w:ascii="宋体" w:hAnsi="宋体" w:eastAsia="宋体" w:cs="宋体"/>
          <w:color w:val="auto"/>
          <w:kern w:val="0"/>
          <w:szCs w:val="21"/>
          <w:highlight w:val="none"/>
          <w:lang w:eastAsia="zh-CN"/>
        </w:rPr>
        <w:t>响应</w:t>
      </w:r>
      <w:r>
        <w:rPr>
          <w:rFonts w:hint="eastAsia" w:ascii="宋体" w:hAnsi="宋体" w:eastAsia="宋体" w:cs="宋体"/>
          <w:color w:val="auto"/>
          <w:kern w:val="0"/>
          <w:szCs w:val="21"/>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三、响应文件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rPr>
        <w:t>.一般要求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rPr>
        <w:t>.1　供应商应仔细阅读磋商文件的所有内容，按磋商文件的要求编制响应文件，并保证所提供的全部资料的真实性，以使其响应文件对磋商文件做出实质性的响应。</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rPr>
        <w:t>.2　供应商提交的响应文件及供应商与采购人、磋商小组就有关磋商的所有来往函电必须使用中文。供应商可以提交其他语言的资料，但应附中文注释，在有差异时以中文为准。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rPr>
        <w:t>.3　除技术要求另有规定外，本文件所要求使用的计量单位均采用国家法定的度、量、衡标准单位计量。未列明时亦默认为我国法定计量单位。</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rPr>
        <w:t>.4　供应商应按磋商文件中提供的响应文件格式填写。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rPr>
        <w:t>.5　磋商响应文件应采用书面形式，磋商文件中要求提供电子版的，必须按要求提供。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.响应文件的组成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由报价文件、商务文件、技术文件三部份组成（合并装订成册）。其中，第</w:t>
      </w: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rPr>
        <w:t>章“</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格式”中规定了</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格式的（有特殊要求除外），应按相应格式要求编写、签字、盖章。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1.报价文件：</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报价</w:t>
      </w:r>
      <w:r>
        <w:rPr>
          <w:rFonts w:hint="eastAsia" w:ascii="宋体" w:hAnsi="宋体" w:eastAsia="宋体" w:cs="宋体"/>
          <w:color w:val="auto"/>
          <w:sz w:val="24"/>
          <w:highlight w:val="none"/>
        </w:rPr>
        <w:t>函（格式见第</w:t>
      </w: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rPr>
        <w:t>章）；</w:t>
      </w:r>
      <w:r>
        <w:rPr>
          <w:rFonts w:hint="eastAsia" w:ascii="宋体" w:hAnsi="宋体" w:eastAsia="宋体" w:cs="宋体"/>
          <w:b/>
          <w:bCs/>
          <w:color w:val="auto"/>
          <w:sz w:val="24"/>
          <w:highlight w:val="none"/>
          <w:lang w:eastAsia="zh-CN"/>
        </w:rPr>
        <w:t>（必须提供）</w:t>
      </w:r>
      <w:r>
        <w:rPr>
          <w:rFonts w:hint="eastAsia" w:ascii="宋体" w:hAnsi="宋体" w:eastAsia="宋体" w:cs="宋体"/>
          <w:color w:val="auto"/>
          <w:sz w:val="24"/>
          <w:highlight w:val="none"/>
        </w:rPr>
        <w:t xml:space="preserve"> </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）报价明细表（格式见第</w:t>
      </w: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rPr>
        <w:t>章）。</w:t>
      </w:r>
      <w:r>
        <w:rPr>
          <w:rFonts w:hint="eastAsia" w:ascii="宋体" w:hAnsi="宋体" w:eastAsia="宋体" w:cs="宋体"/>
          <w:b/>
          <w:bCs/>
          <w:color w:val="auto"/>
          <w:sz w:val="24"/>
          <w:highlight w:val="none"/>
          <w:lang w:eastAsia="zh-CN"/>
        </w:rPr>
        <w:t>（必须提供）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2.商务文件：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（1）投标声明书（格式见第</w:t>
      </w: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rPr>
        <w:t>章）；</w:t>
      </w:r>
      <w:r>
        <w:rPr>
          <w:rFonts w:hint="eastAsia" w:ascii="宋体" w:hAnsi="宋体" w:eastAsia="宋体" w:cs="宋体"/>
          <w:b/>
          <w:bCs/>
          <w:color w:val="auto"/>
          <w:sz w:val="24"/>
          <w:highlight w:val="none"/>
          <w:lang w:eastAsia="zh-CN"/>
        </w:rPr>
        <w:t>（必须提供）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（2）有效的营业执照等证明文件复印件；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1 \* GB3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①</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有效的营业执照副本复印件或事业单位法人（负责人）证书复印件；</w:t>
      </w:r>
      <w:r>
        <w:rPr>
          <w:rFonts w:hint="eastAsia" w:ascii="宋体" w:hAnsi="宋体" w:eastAsia="宋体" w:cs="宋体"/>
          <w:b/>
          <w:bCs/>
          <w:color w:val="auto"/>
          <w:sz w:val="24"/>
          <w:highlight w:val="none"/>
          <w:lang w:eastAsia="zh-CN"/>
        </w:rPr>
        <w:t>（必须提供）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2 \* GB3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②</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有效的其他资质证书复印件；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（3）法定代表人身份证明原件和有效的法定代表人身份证正反面复印件；</w:t>
      </w:r>
      <w:r>
        <w:rPr>
          <w:rFonts w:hint="eastAsia" w:ascii="宋体" w:hAnsi="宋体" w:eastAsia="宋体" w:cs="宋体"/>
          <w:b/>
          <w:bCs/>
          <w:color w:val="auto"/>
          <w:sz w:val="24"/>
          <w:highlight w:val="none"/>
          <w:lang w:eastAsia="zh-CN"/>
        </w:rPr>
        <w:t>（必须提供）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）法定代表人授权委托书 （委托代理时提供，格式见第六章）；</w:t>
      </w:r>
      <w:r>
        <w:rPr>
          <w:rFonts w:hint="eastAsia" w:ascii="宋体" w:hAnsi="宋体" w:eastAsia="宋体" w:cs="宋体"/>
          <w:b/>
          <w:bCs/>
          <w:color w:val="auto"/>
          <w:sz w:val="24"/>
          <w:highlight w:val="none"/>
          <w:lang w:eastAsia="zh-CN"/>
        </w:rPr>
        <w:t>（委托时必须提供）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）有效的委托代理人身份证正反面复印件；</w:t>
      </w:r>
      <w:r>
        <w:rPr>
          <w:rFonts w:hint="eastAsia" w:ascii="宋体" w:hAnsi="宋体" w:eastAsia="宋体" w:cs="宋体"/>
          <w:b/>
          <w:bCs/>
          <w:color w:val="auto"/>
          <w:sz w:val="24"/>
          <w:highlight w:val="none"/>
          <w:lang w:eastAsia="zh-CN"/>
        </w:rPr>
        <w:t>（委托时必须提供）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）参加采购活动前3年内在经营活动中没有重大违法记录的书面声明（格式可自拟）；</w:t>
      </w:r>
      <w:r>
        <w:rPr>
          <w:rFonts w:hint="eastAsia" w:ascii="宋体" w:hAnsi="宋体" w:eastAsia="宋体" w:cs="宋体"/>
          <w:b/>
          <w:bCs/>
          <w:color w:val="auto"/>
          <w:sz w:val="24"/>
          <w:highlight w:val="none"/>
          <w:lang w:eastAsia="zh-CN"/>
        </w:rPr>
        <w:t>（必须提供）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在“信用中国”网站（ www.creditchina.gov.cn）查询相关</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主体信用记录；</w:t>
      </w:r>
      <w:r>
        <w:rPr>
          <w:rFonts w:hint="eastAsia" w:ascii="宋体" w:hAnsi="宋体" w:eastAsia="宋体" w:cs="宋体"/>
          <w:b/>
          <w:bCs/>
          <w:color w:val="auto"/>
          <w:sz w:val="24"/>
          <w:highlight w:val="none"/>
          <w:lang w:eastAsia="zh-CN"/>
        </w:rPr>
        <w:t>（必须提供）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）商务响应表（格式见第</w:t>
      </w: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rPr>
        <w:t>章）；</w:t>
      </w:r>
      <w:r>
        <w:rPr>
          <w:rFonts w:hint="eastAsia" w:ascii="宋体" w:hAnsi="宋体" w:eastAsia="宋体" w:cs="宋体"/>
          <w:b/>
          <w:bCs/>
          <w:color w:val="auto"/>
          <w:sz w:val="24"/>
          <w:highlight w:val="none"/>
          <w:lang w:eastAsia="zh-CN"/>
        </w:rPr>
        <w:t>（必须提供）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可作为</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资信评分的资质证明材料（可选）</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eastAsia="宋体" w:cs="宋体"/>
          <w:color w:val="auto"/>
          <w:sz w:val="24"/>
          <w:highlight w:val="yellow"/>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的类似成功案例的业绩证明文件（</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同类项目实施情况一览表、合同复印件，格式可自拟）；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认为可以证明其能力或业绩的其它材料（格式可自拟）；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3.技术文件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（1）技术响应表（格式见第</w:t>
      </w: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rPr>
        <w:t>章）；</w:t>
      </w:r>
      <w:r>
        <w:rPr>
          <w:rFonts w:hint="eastAsia" w:ascii="宋体" w:hAnsi="宋体" w:eastAsia="宋体" w:cs="宋体"/>
          <w:b/>
          <w:bCs/>
          <w:color w:val="auto"/>
          <w:sz w:val="24"/>
          <w:highlight w:val="none"/>
          <w:lang w:eastAsia="zh-CN"/>
        </w:rPr>
        <w:t>（必须提供）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（2）服务方案（格式可自拟）；</w:t>
      </w:r>
      <w:r>
        <w:rPr>
          <w:rFonts w:hint="eastAsia" w:ascii="宋体" w:hAnsi="宋体" w:eastAsia="宋体" w:cs="宋体"/>
          <w:b/>
          <w:bCs/>
          <w:color w:val="auto"/>
          <w:sz w:val="24"/>
          <w:highlight w:val="none"/>
          <w:lang w:eastAsia="zh-CN"/>
        </w:rPr>
        <w:t>（必须提供）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 w:val="24"/>
          <w:highlight w:val="none"/>
        </w:rPr>
        <w:t>（3）项目实施人员情况（含项目实施人员一览表，格式可自拟）</w:t>
      </w:r>
      <w:r>
        <w:rPr>
          <w:rFonts w:hint="eastAsia" w:ascii="宋体" w:hAnsi="宋体" w:eastAsia="宋体" w:cs="宋体"/>
          <w:color w:val="auto"/>
          <w:szCs w:val="21"/>
          <w:highlight w:val="none"/>
        </w:rPr>
        <w:t>；</w:t>
      </w:r>
      <w:r>
        <w:rPr>
          <w:rFonts w:hint="eastAsia" w:ascii="宋体" w:hAnsi="宋体" w:eastAsia="宋体" w:cs="宋体"/>
          <w:b/>
          <w:bCs/>
          <w:color w:val="auto"/>
          <w:sz w:val="24"/>
          <w:highlight w:val="none"/>
          <w:lang w:eastAsia="zh-CN"/>
        </w:rPr>
        <w:t>（必须提供）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需要说明的其他文件和说明（格式可自拟）。</w:t>
      </w:r>
    </w:p>
    <w:p>
      <w:pPr>
        <w:pStyle w:val="37"/>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注：法定代表人授权委托书、投标声明书、投标函、开标一览表必须由法定代表人或授权代表签字并加盖单位公章。</w:t>
      </w:r>
    </w:p>
    <w:p>
      <w:pPr>
        <w:pStyle w:val="37"/>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.报价</w:t>
      </w:r>
    </w:p>
    <w:p>
      <w:pPr>
        <w:pStyle w:val="37"/>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.1　供应商应按磋商文件规定的供货及服务要求、责任范围和合同条件，以人民币进行报价。报价应为完税价。</w:t>
      </w:r>
    </w:p>
    <w:p>
      <w:pPr>
        <w:pStyle w:val="37"/>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项目有特殊要求的见磋商须知前附表。</w:t>
      </w:r>
    </w:p>
    <w:p>
      <w:pPr>
        <w:pStyle w:val="37"/>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.磋商响应有效期</w:t>
      </w:r>
    </w:p>
    <w:p>
      <w:pPr>
        <w:pStyle w:val="37"/>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磋商响应有效期见</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须知前附表，在此期间响应文件对供应商具有法律约束力，以保证采购人有足够的时间完成</w:t>
      </w:r>
      <w:r>
        <w:rPr>
          <w:rFonts w:hint="eastAsia" w:ascii="宋体" w:hAnsi="宋体" w:eastAsia="宋体" w:cs="宋体"/>
          <w:color w:val="auto"/>
          <w:kern w:val="0"/>
          <w:szCs w:val="21"/>
          <w:highlight w:val="none"/>
          <w:lang w:eastAsia="zh-CN"/>
        </w:rPr>
        <w:t>评审</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确定成交供应商</w:t>
      </w:r>
      <w:r>
        <w:rPr>
          <w:rFonts w:hint="eastAsia" w:ascii="宋体" w:hAnsi="宋体" w:eastAsia="宋体" w:cs="宋体"/>
          <w:color w:val="auto"/>
          <w:kern w:val="0"/>
          <w:szCs w:val="21"/>
          <w:highlight w:val="none"/>
        </w:rPr>
        <w:t>以及签订合同。响应文件有效期从磋商须知前附表规定的提交首次响应文件截止时间之日起计算。磋商响应有效期不足的</w:t>
      </w:r>
      <w:r>
        <w:rPr>
          <w:rFonts w:hint="eastAsia" w:ascii="宋体" w:hAnsi="宋体" w:eastAsia="宋体" w:cs="宋体"/>
          <w:color w:val="auto"/>
          <w:kern w:val="0"/>
          <w:szCs w:val="21"/>
          <w:highlight w:val="none"/>
          <w:lang w:eastAsia="zh-CN"/>
        </w:rPr>
        <w:t>，在评审时</w:t>
      </w:r>
      <w:r>
        <w:rPr>
          <w:rFonts w:hint="eastAsia" w:ascii="宋体" w:hAnsi="宋体" w:eastAsia="宋体" w:cs="宋体"/>
          <w:color w:val="auto"/>
          <w:kern w:val="0"/>
          <w:szCs w:val="21"/>
          <w:highlight w:val="none"/>
        </w:rPr>
        <w:t>将被视为无效响应。</w:t>
      </w:r>
    </w:p>
    <w:p>
      <w:pPr>
        <w:pStyle w:val="37"/>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.响应文件的签署及规定</w:t>
      </w:r>
    </w:p>
    <w:p>
      <w:pPr>
        <w:pStyle w:val="37"/>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.1　供应商应根据磋商须知前附表规定提交响应文件。纸质文件的正本和副本应装订成册。正本和副本的封面上应标记“正本”或“副本”的字样，当正本和副本、电子版不一致时，以正本为准。</w:t>
      </w:r>
    </w:p>
    <w:p>
      <w:pPr>
        <w:pStyle w:val="37"/>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响应文件正本和副本应用不褪色的材料打印或书写，并按磋商文件要求在签字盖章处加盖公章和由</w:t>
      </w:r>
      <w:r>
        <w:rPr>
          <w:rFonts w:hint="eastAsia" w:ascii="宋体" w:hAnsi="宋体" w:eastAsia="宋体" w:cs="宋体"/>
          <w:color w:val="auto"/>
          <w:kern w:val="0"/>
          <w:szCs w:val="21"/>
          <w:highlight w:val="none"/>
          <w:lang w:eastAsia="zh-CN"/>
        </w:rPr>
        <w:t>法定代表人（负责人）</w:t>
      </w:r>
      <w:r>
        <w:rPr>
          <w:rFonts w:hint="eastAsia" w:ascii="宋体" w:hAnsi="宋体" w:eastAsia="宋体" w:cs="宋体"/>
          <w:color w:val="auto"/>
          <w:kern w:val="0"/>
          <w:szCs w:val="21"/>
          <w:highlight w:val="none"/>
        </w:rPr>
        <w:t>或其授权代表签字。响应文件中的任何行间插字、涂改和增删，应加盖单位公章或由</w:t>
      </w:r>
      <w:r>
        <w:rPr>
          <w:rFonts w:hint="eastAsia" w:ascii="宋体" w:hAnsi="宋体" w:eastAsia="宋体" w:cs="宋体"/>
          <w:color w:val="auto"/>
          <w:kern w:val="0"/>
          <w:szCs w:val="21"/>
          <w:highlight w:val="none"/>
          <w:lang w:eastAsia="zh-CN"/>
        </w:rPr>
        <w:t>法定代表人（负责人）</w:t>
      </w:r>
      <w:r>
        <w:rPr>
          <w:rFonts w:hint="eastAsia" w:ascii="宋体" w:hAnsi="宋体" w:eastAsia="宋体" w:cs="宋体"/>
          <w:color w:val="auto"/>
          <w:kern w:val="0"/>
          <w:szCs w:val="21"/>
          <w:highlight w:val="none"/>
        </w:rPr>
        <w:t>或其授权代表签字确认。否则，</w:t>
      </w:r>
      <w:r>
        <w:rPr>
          <w:rFonts w:hint="eastAsia" w:ascii="宋体" w:hAnsi="宋体" w:eastAsia="宋体" w:cs="宋体"/>
          <w:color w:val="auto"/>
          <w:kern w:val="0"/>
          <w:szCs w:val="21"/>
          <w:highlight w:val="none"/>
          <w:lang w:eastAsia="zh-CN"/>
        </w:rPr>
        <w:t>在评审时将其视为</w:t>
      </w:r>
      <w:r>
        <w:rPr>
          <w:rFonts w:hint="eastAsia" w:ascii="宋体" w:hAnsi="宋体" w:eastAsia="宋体" w:cs="宋体"/>
          <w:color w:val="auto"/>
          <w:kern w:val="0"/>
          <w:szCs w:val="21"/>
          <w:highlight w:val="none"/>
        </w:rPr>
        <w:t>无效</w:t>
      </w:r>
      <w:r>
        <w:rPr>
          <w:rFonts w:hint="eastAsia" w:ascii="宋体" w:hAnsi="宋体" w:eastAsia="宋体" w:cs="宋体"/>
          <w:color w:val="auto"/>
          <w:kern w:val="0"/>
          <w:szCs w:val="21"/>
          <w:highlight w:val="none"/>
          <w:lang w:eastAsia="zh-CN"/>
        </w:rPr>
        <w:t>响应</w:t>
      </w:r>
      <w:r>
        <w:rPr>
          <w:rFonts w:hint="eastAsia" w:ascii="宋体" w:hAnsi="宋体" w:eastAsia="宋体" w:cs="宋体"/>
          <w:color w:val="auto"/>
          <w:kern w:val="0"/>
          <w:szCs w:val="21"/>
          <w:highlight w:val="none"/>
        </w:rPr>
        <w:t>。</w:t>
      </w:r>
    </w:p>
    <w:p>
      <w:pPr>
        <w:pStyle w:val="37"/>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在磋商过程中，供应商按磋商文件规定和磋商小组要求重新提交的响应文件和最后报价，应打印或用不褪色墨水书写，并由</w:t>
      </w:r>
      <w:r>
        <w:rPr>
          <w:rFonts w:hint="eastAsia" w:ascii="宋体" w:hAnsi="宋体" w:eastAsia="宋体" w:cs="宋体"/>
          <w:color w:val="auto"/>
          <w:kern w:val="0"/>
          <w:szCs w:val="21"/>
          <w:highlight w:val="none"/>
          <w:lang w:eastAsia="zh-CN"/>
        </w:rPr>
        <w:t>法定代表人（负责人）</w:t>
      </w:r>
      <w:r>
        <w:rPr>
          <w:rFonts w:hint="eastAsia" w:ascii="宋体" w:hAnsi="宋体" w:eastAsia="宋体" w:cs="宋体"/>
          <w:color w:val="auto"/>
          <w:kern w:val="0"/>
          <w:szCs w:val="21"/>
          <w:highlight w:val="none"/>
        </w:rPr>
        <w:t>或其授权代表签字。否则，</w:t>
      </w:r>
      <w:r>
        <w:rPr>
          <w:rFonts w:hint="eastAsia" w:ascii="宋体" w:hAnsi="宋体" w:eastAsia="宋体" w:cs="宋体"/>
          <w:color w:val="auto"/>
          <w:kern w:val="0"/>
          <w:szCs w:val="21"/>
          <w:highlight w:val="none"/>
          <w:lang w:eastAsia="zh-CN"/>
        </w:rPr>
        <w:t>在评审时将其视为</w:t>
      </w:r>
      <w:r>
        <w:rPr>
          <w:rFonts w:hint="eastAsia" w:ascii="宋体" w:hAnsi="宋体" w:eastAsia="宋体" w:cs="宋体"/>
          <w:color w:val="auto"/>
          <w:kern w:val="0"/>
          <w:szCs w:val="21"/>
          <w:highlight w:val="none"/>
        </w:rPr>
        <w:t>无效</w:t>
      </w:r>
      <w:r>
        <w:rPr>
          <w:rFonts w:hint="eastAsia" w:ascii="宋体" w:hAnsi="宋体" w:eastAsia="宋体" w:cs="宋体"/>
          <w:color w:val="auto"/>
          <w:kern w:val="0"/>
          <w:szCs w:val="21"/>
          <w:highlight w:val="none"/>
          <w:lang w:eastAsia="zh-CN"/>
        </w:rPr>
        <w:t>响应</w:t>
      </w:r>
      <w:r>
        <w:rPr>
          <w:rFonts w:hint="eastAsia" w:ascii="宋体" w:hAnsi="宋体" w:eastAsia="宋体" w:cs="宋体"/>
          <w:color w:val="auto"/>
          <w:kern w:val="0"/>
          <w:szCs w:val="21"/>
          <w:highlight w:val="none"/>
        </w:rPr>
        <w:t>。</w:t>
      </w:r>
    </w:p>
    <w:p>
      <w:pPr>
        <w:pStyle w:val="37"/>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.响应文件的密封和标记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rPr>
        <w:t>.1　响应文件的的密封、标记详见</w:t>
      </w:r>
      <w:r>
        <w:rPr>
          <w:rFonts w:hint="eastAsia" w:ascii="宋体" w:hAnsi="宋体" w:eastAsia="宋体" w:cs="宋体"/>
          <w:color w:val="auto"/>
          <w:kern w:val="0"/>
          <w:szCs w:val="21"/>
          <w:highlight w:val="none"/>
          <w:lang w:val="en-US" w:eastAsia="zh-CN"/>
        </w:rPr>
        <w:t>供应</w:t>
      </w:r>
      <w:r>
        <w:rPr>
          <w:rFonts w:hint="eastAsia" w:ascii="宋体" w:hAnsi="宋体" w:eastAsia="宋体" w:cs="宋体"/>
          <w:color w:val="auto"/>
          <w:kern w:val="0"/>
          <w:szCs w:val="21"/>
          <w:highlight w:val="none"/>
        </w:rPr>
        <w:t>商须知前附表。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rPr>
        <w:t>.1　响应文件如果未按上述规定密封和标记，采购人应当拒绝接收。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17</w:t>
      </w:r>
      <w:r>
        <w:rPr>
          <w:rFonts w:hint="eastAsia" w:ascii="宋体" w:hAnsi="宋体" w:eastAsia="宋体" w:cs="宋体"/>
          <w:color w:val="auto"/>
          <w:kern w:val="0"/>
          <w:szCs w:val="21"/>
          <w:highlight w:val="none"/>
        </w:rPr>
        <w:t>.响应文件的递交</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17</w:t>
      </w:r>
      <w:r>
        <w:rPr>
          <w:rFonts w:hint="eastAsia" w:ascii="宋体" w:hAnsi="宋体" w:eastAsia="宋体" w:cs="宋体"/>
          <w:color w:val="auto"/>
          <w:kern w:val="0"/>
          <w:szCs w:val="21"/>
          <w:highlight w:val="none"/>
        </w:rPr>
        <w:t>.1　响应文件应在</w:t>
      </w:r>
      <w:r>
        <w:rPr>
          <w:rFonts w:hint="eastAsia" w:ascii="宋体" w:hAnsi="宋体" w:eastAsia="宋体" w:cs="宋体"/>
          <w:color w:val="auto"/>
          <w:kern w:val="0"/>
          <w:szCs w:val="21"/>
          <w:highlight w:val="none"/>
          <w:lang w:val="en-US" w:eastAsia="zh-CN"/>
        </w:rPr>
        <w:t>供应</w:t>
      </w:r>
      <w:r>
        <w:rPr>
          <w:rFonts w:hint="eastAsia" w:ascii="宋体" w:hAnsi="宋体" w:eastAsia="宋体" w:cs="宋体"/>
          <w:color w:val="auto"/>
          <w:kern w:val="0"/>
          <w:szCs w:val="21"/>
          <w:highlight w:val="none"/>
        </w:rPr>
        <w:t>商须知前附表规定的提交时间和指定地点提交。</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17</w:t>
      </w:r>
      <w:r>
        <w:rPr>
          <w:rFonts w:hint="eastAsia" w:ascii="宋体" w:hAnsi="宋体" w:eastAsia="宋体" w:cs="宋体"/>
          <w:color w:val="auto"/>
          <w:kern w:val="0"/>
          <w:szCs w:val="21"/>
          <w:highlight w:val="none"/>
        </w:rPr>
        <w:t>.2　在截止时间后送达的响应文件为无效文件，采购人、采购代理机构或磋商小组应当拒收。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18</w:t>
      </w:r>
      <w:r>
        <w:rPr>
          <w:rFonts w:hint="eastAsia" w:ascii="宋体" w:hAnsi="宋体" w:eastAsia="宋体" w:cs="宋体"/>
          <w:color w:val="auto"/>
          <w:kern w:val="0"/>
          <w:szCs w:val="21"/>
          <w:highlight w:val="none"/>
        </w:rPr>
        <w:t>.响应文件的补充、修改或者撤回</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18</w:t>
      </w:r>
      <w:r>
        <w:rPr>
          <w:rFonts w:hint="eastAsia" w:ascii="宋体" w:hAnsi="宋体" w:eastAsia="宋体" w:cs="宋体"/>
          <w:color w:val="auto"/>
          <w:kern w:val="0"/>
          <w:szCs w:val="21"/>
          <w:highlight w:val="none"/>
        </w:rPr>
        <w:t>.1　供应商在</w:t>
      </w:r>
      <w:r>
        <w:rPr>
          <w:rFonts w:hint="eastAsia" w:ascii="宋体" w:hAnsi="宋体" w:eastAsia="宋体" w:cs="宋体"/>
          <w:color w:val="auto"/>
          <w:kern w:val="0"/>
          <w:szCs w:val="21"/>
          <w:highlight w:val="none"/>
          <w:lang w:val="en-US" w:eastAsia="zh-CN"/>
        </w:rPr>
        <w:t>供应</w:t>
      </w:r>
      <w:r>
        <w:rPr>
          <w:rFonts w:hint="eastAsia" w:ascii="宋体" w:hAnsi="宋体" w:eastAsia="宋体" w:cs="宋体"/>
          <w:color w:val="auto"/>
          <w:kern w:val="0"/>
          <w:szCs w:val="21"/>
          <w:highlight w:val="none"/>
        </w:rPr>
        <w:t>商须知前附表规定的提交首次响应文件截止时间前，可以对所提交的首次响应文件进行补充、修改或者撤回，</w:t>
      </w:r>
      <w:r>
        <w:rPr>
          <w:rFonts w:hint="eastAsia" w:ascii="宋体" w:hAnsi="宋体" w:eastAsia="宋体" w:cs="宋体"/>
          <w:color w:val="auto"/>
          <w:kern w:val="0"/>
          <w:szCs w:val="21"/>
          <w:highlight w:val="none"/>
          <w:lang w:eastAsia="zh-CN"/>
        </w:rPr>
        <w:t>但应以书面形式</w:t>
      </w:r>
      <w:r>
        <w:rPr>
          <w:rFonts w:hint="eastAsia" w:ascii="宋体" w:hAnsi="宋体" w:eastAsia="宋体" w:cs="宋体"/>
          <w:color w:val="auto"/>
          <w:kern w:val="0"/>
          <w:szCs w:val="21"/>
          <w:highlight w:val="none"/>
        </w:rPr>
        <w:t>通知采购人或采购代理机构。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18</w:t>
      </w:r>
      <w:r>
        <w:rPr>
          <w:rFonts w:hint="eastAsia" w:ascii="宋体" w:hAnsi="宋体" w:eastAsia="宋体" w:cs="宋体"/>
          <w:color w:val="auto"/>
          <w:kern w:val="0"/>
          <w:szCs w:val="21"/>
          <w:highlight w:val="none"/>
        </w:rPr>
        <w:t>.2　修改、补充的内容为</w:t>
      </w:r>
      <w:r>
        <w:rPr>
          <w:rFonts w:hint="eastAsia" w:ascii="宋体" w:hAnsi="宋体" w:eastAsia="宋体" w:cs="宋体"/>
          <w:color w:val="auto"/>
          <w:kern w:val="0"/>
          <w:szCs w:val="21"/>
          <w:highlight w:val="none"/>
          <w:lang w:eastAsia="zh-CN"/>
        </w:rPr>
        <w:t>响应</w:t>
      </w:r>
      <w:r>
        <w:rPr>
          <w:rFonts w:hint="eastAsia" w:ascii="宋体" w:hAnsi="宋体" w:eastAsia="宋体" w:cs="宋体"/>
          <w:color w:val="auto"/>
          <w:kern w:val="0"/>
          <w:szCs w:val="21"/>
          <w:highlight w:val="none"/>
        </w:rPr>
        <w:t>文件的组成部分。修改、补充的</w:t>
      </w:r>
      <w:r>
        <w:rPr>
          <w:rFonts w:hint="eastAsia" w:ascii="宋体" w:hAnsi="宋体" w:eastAsia="宋体" w:cs="宋体"/>
          <w:color w:val="auto"/>
          <w:kern w:val="0"/>
          <w:szCs w:val="21"/>
          <w:highlight w:val="none"/>
          <w:lang w:eastAsia="zh-CN"/>
        </w:rPr>
        <w:t>响应</w:t>
      </w:r>
      <w:r>
        <w:rPr>
          <w:rFonts w:hint="eastAsia" w:ascii="宋体" w:hAnsi="宋体" w:eastAsia="宋体" w:cs="宋体"/>
          <w:color w:val="auto"/>
          <w:kern w:val="0"/>
          <w:szCs w:val="21"/>
          <w:highlight w:val="none"/>
        </w:rPr>
        <w:t>文件应按本章第1</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17</w:t>
      </w:r>
      <w:r>
        <w:rPr>
          <w:rFonts w:hint="eastAsia" w:ascii="宋体" w:hAnsi="宋体" w:eastAsia="宋体" w:cs="宋体"/>
          <w:color w:val="auto"/>
          <w:kern w:val="0"/>
          <w:szCs w:val="21"/>
          <w:highlight w:val="none"/>
        </w:rPr>
        <w:t>项规定编制、签署、密封、标记和递交，并标明“修改、补充”字样。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18</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有效期内不得修改、撤销其</w:t>
      </w:r>
      <w:r>
        <w:rPr>
          <w:rFonts w:hint="eastAsia" w:ascii="宋体" w:hAnsi="宋体" w:eastAsia="宋体" w:cs="宋体"/>
          <w:color w:val="auto"/>
          <w:kern w:val="0"/>
          <w:szCs w:val="21"/>
          <w:highlight w:val="none"/>
          <w:lang w:eastAsia="zh-CN"/>
        </w:rPr>
        <w:t>响应</w:t>
      </w:r>
      <w:r>
        <w:rPr>
          <w:rFonts w:hint="eastAsia" w:ascii="宋体" w:hAnsi="宋体" w:eastAsia="宋体" w:cs="宋体"/>
          <w:color w:val="auto"/>
          <w:kern w:val="0"/>
          <w:szCs w:val="21"/>
          <w:highlight w:val="none"/>
        </w:rPr>
        <w:t>文件。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四、磋商与评审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19</w:t>
      </w:r>
      <w:r>
        <w:rPr>
          <w:rFonts w:hint="eastAsia" w:ascii="宋体" w:hAnsi="宋体" w:eastAsia="宋体" w:cs="宋体"/>
          <w:color w:val="auto"/>
          <w:kern w:val="0"/>
          <w:szCs w:val="21"/>
          <w:highlight w:val="none"/>
        </w:rPr>
        <w:t>.磋商小组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19</w:t>
      </w:r>
      <w:r>
        <w:rPr>
          <w:rFonts w:hint="eastAsia" w:ascii="宋体" w:hAnsi="宋体" w:eastAsia="宋体" w:cs="宋体"/>
          <w:color w:val="auto"/>
          <w:kern w:val="0"/>
          <w:szCs w:val="21"/>
          <w:highlight w:val="none"/>
        </w:rPr>
        <w:t>.1　磋商与评审由依法组建的磋商小组负责，磋商小组由采购人代表和评审专家组成。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0</w:t>
      </w:r>
      <w:r>
        <w:rPr>
          <w:rFonts w:hint="eastAsia" w:ascii="宋体" w:hAnsi="宋体" w:eastAsia="宋体" w:cs="宋体"/>
          <w:color w:val="auto"/>
          <w:kern w:val="0"/>
          <w:szCs w:val="21"/>
          <w:highlight w:val="none"/>
        </w:rPr>
        <w:t>.初步审查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0</w:t>
      </w:r>
      <w:r>
        <w:rPr>
          <w:rFonts w:hint="eastAsia" w:ascii="宋体" w:hAnsi="宋体" w:eastAsia="宋体" w:cs="宋体"/>
          <w:color w:val="auto"/>
          <w:kern w:val="0"/>
          <w:szCs w:val="21"/>
          <w:highlight w:val="none"/>
        </w:rPr>
        <w:t>.1　磋商小组应当对供应商提交的首次响应文件进行初步审查，包括响应文件的有效性、完整性、符合性。除可变动的技术、服务要求以及合同草案条款外，首次提交的响应文件有下列情况之一，其响应文件无效，磋商小组应当告知有关供应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(1)供应商未按照磋商文件规定提交的</w:t>
      </w:r>
      <w:r>
        <w:rPr>
          <w:rFonts w:hint="eastAsia" w:ascii="宋体" w:hAnsi="宋体" w:cs="宋体"/>
          <w:color w:val="auto"/>
          <w:kern w:val="0"/>
          <w:szCs w:val="21"/>
          <w:highlight w:val="none"/>
          <w:lang w:val="en-US" w:eastAsia="zh-CN"/>
        </w:rPr>
        <w:t>材料</w:t>
      </w:r>
      <w:r>
        <w:rPr>
          <w:rFonts w:hint="eastAsia" w:ascii="宋体" w:hAnsi="宋体" w:eastAsia="宋体" w:cs="宋体"/>
          <w:color w:val="auto"/>
          <w:kern w:val="0"/>
          <w:szCs w:val="21"/>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(2)未按照磋商文件规定要求密封、签署、盖章的；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(3)响应有效期不足的；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(4)供应商不满足磋商文件供应商资格条件或未按照磋商文件规定提供资格证明材料的；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(5)响应文件不满足磋商文件实质性条款的。响应文件是否实质性响应磋商文件，由磋商小组依据磋商文件规定、供应商响应文件及磋商情况认定；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(6)供应商存在失信记录的：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失信记录是指，通过“信用中国”网站(www.creditchina.gov.cn)、中国政府采购网(www.ccgp.gov.cn)查询相关主体信用记录，列入失信被执行人、重大税收违法案件当事人名单、政府采购严重违法失信行为记录名单及其他不符合</w:t>
      </w:r>
      <w:r>
        <w:rPr>
          <w:rFonts w:hint="eastAsia" w:ascii="宋体" w:hAnsi="宋体" w:eastAsia="宋体" w:cs="宋体"/>
          <w:color w:val="auto"/>
          <w:kern w:val="0"/>
          <w:szCs w:val="21"/>
          <w:highlight w:val="none"/>
          <w:lang w:eastAsia="zh-CN"/>
        </w:rPr>
        <w:t>供应商资格条件第</w:t>
      </w:r>
      <w:r>
        <w:rPr>
          <w:rFonts w:hint="eastAsia" w:ascii="宋体" w:hAnsi="宋体" w:eastAsia="宋体" w:cs="宋体"/>
          <w:color w:val="auto"/>
          <w:kern w:val="0"/>
          <w:szCs w:val="21"/>
          <w:highlight w:val="none"/>
          <w:lang w:val="en-US" w:eastAsia="zh-CN"/>
        </w:rPr>
        <w:t>1项</w:t>
      </w:r>
      <w:r>
        <w:rPr>
          <w:rFonts w:hint="eastAsia" w:ascii="宋体" w:hAnsi="宋体" w:eastAsia="宋体" w:cs="宋体"/>
          <w:color w:val="auto"/>
          <w:kern w:val="0"/>
          <w:szCs w:val="21"/>
          <w:highlight w:val="none"/>
          <w:lang w:eastAsia="zh-CN"/>
        </w:rPr>
        <w:t>条款</w:t>
      </w:r>
      <w:r>
        <w:rPr>
          <w:rFonts w:hint="eastAsia" w:ascii="宋体" w:hAnsi="宋体" w:eastAsia="宋体" w:cs="宋体"/>
          <w:color w:val="auto"/>
          <w:kern w:val="0"/>
          <w:szCs w:val="21"/>
          <w:highlight w:val="none"/>
        </w:rPr>
        <w:t>的情况。失信情况查询详见磋商须知前附表；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(7)其他不符合法律、规章、规范性文件和磋商文件规定的。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rPr>
        <w:t>.澄清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rPr>
        <w:t>.1　磋商小组在对响应文件(包括首次响应文件、重新提交的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w:t>
      </w:r>
      <w:r>
        <w:rPr>
          <w:rFonts w:hint="eastAsia" w:ascii="宋体" w:hAnsi="宋体" w:eastAsia="宋体" w:cs="宋体"/>
          <w:color w:val="auto"/>
          <w:kern w:val="0"/>
          <w:szCs w:val="21"/>
          <w:highlight w:val="none"/>
          <w:lang w:eastAsia="zh-CN"/>
        </w:rPr>
        <w:t>法定代表人（负责人）</w:t>
      </w:r>
      <w:r>
        <w:rPr>
          <w:rFonts w:hint="eastAsia" w:ascii="宋体" w:hAnsi="宋体" w:eastAsia="宋体" w:cs="宋体"/>
          <w:color w:val="auto"/>
          <w:kern w:val="0"/>
          <w:szCs w:val="21"/>
          <w:highlight w:val="none"/>
        </w:rPr>
        <w:t>或其授权代表签字，供应商的澄清、说明或者更正不得超出磋商文件的范围或者改变响应文件的实质性内容。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.磋商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.1　初审结束后，磋商小组所有成员集中与单一供应商分别进行磋商，并给予所有参加磋商的供应商平等的磋商机会。供应商应派其</w:t>
      </w:r>
      <w:r>
        <w:rPr>
          <w:rFonts w:hint="eastAsia" w:ascii="宋体" w:hAnsi="宋体" w:eastAsia="宋体" w:cs="宋体"/>
          <w:color w:val="auto"/>
          <w:kern w:val="0"/>
          <w:szCs w:val="21"/>
          <w:highlight w:val="none"/>
          <w:lang w:eastAsia="zh-CN"/>
        </w:rPr>
        <w:t>法定代表人（负责人）</w:t>
      </w:r>
      <w:r>
        <w:rPr>
          <w:rFonts w:hint="eastAsia" w:ascii="宋体" w:hAnsi="宋体" w:eastAsia="宋体" w:cs="宋体"/>
          <w:color w:val="auto"/>
          <w:kern w:val="0"/>
          <w:szCs w:val="21"/>
          <w:highlight w:val="none"/>
        </w:rPr>
        <w:t>或授权代表参加磋商。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.2　在磋商过程中，磋商小组可以根据磋商文件和磋商情况实质性变动采购需求中的技术、服务要求以及合同草案条款，但不得变动磋商文件中的其他内容。实质性变动的内容，须经采购人代表确认。</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.3　对磋商文件作出的实质性变动是磋商文件的有效组成部分，磋商小组应当及时以书面形式同时通知所有参加磋商的供应商。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.4　供应商应当按照磋商文件的变动情况和磋商小组的要求重新提交响应文件，并由其</w:t>
      </w:r>
      <w:r>
        <w:rPr>
          <w:rFonts w:hint="eastAsia" w:ascii="宋体" w:hAnsi="宋体" w:eastAsia="宋体" w:cs="宋体"/>
          <w:color w:val="auto"/>
          <w:kern w:val="0"/>
          <w:szCs w:val="21"/>
          <w:highlight w:val="none"/>
          <w:lang w:eastAsia="zh-CN"/>
        </w:rPr>
        <w:t>法定代表人（负责人）</w:t>
      </w:r>
      <w:r>
        <w:rPr>
          <w:rFonts w:hint="eastAsia" w:ascii="宋体" w:hAnsi="宋体" w:eastAsia="宋体" w:cs="宋体"/>
          <w:color w:val="auto"/>
          <w:kern w:val="0"/>
          <w:szCs w:val="21"/>
          <w:highlight w:val="none"/>
        </w:rPr>
        <w:t>或授权代表签字或者加盖公章。由授权代表签字的，应当附</w:t>
      </w:r>
      <w:r>
        <w:rPr>
          <w:rFonts w:hint="eastAsia" w:ascii="宋体" w:hAnsi="宋体" w:eastAsia="宋体" w:cs="宋体"/>
          <w:color w:val="auto"/>
          <w:kern w:val="0"/>
          <w:szCs w:val="21"/>
          <w:highlight w:val="none"/>
          <w:lang w:eastAsia="zh-CN"/>
        </w:rPr>
        <w:t>法定代表人（负责人）</w:t>
      </w:r>
      <w:r>
        <w:rPr>
          <w:rFonts w:hint="eastAsia" w:ascii="宋体" w:hAnsi="宋体" w:eastAsia="宋体" w:cs="宋体"/>
          <w:color w:val="auto"/>
          <w:kern w:val="0"/>
          <w:szCs w:val="21"/>
          <w:highlight w:val="none"/>
        </w:rPr>
        <w:t>授权书。供应商为自然人的，应当由本人签字并附身份证明。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　磋商小组应当根据实际情况与供应商进行磋商，并确定磋商的轮次。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　已提交响应文件的供应商，在提交最后报价之前，可以根据磋商情况退出磋商。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　磋商结束后，供应商按照磋商小组要求重新提交的响应文件，不满足磋商文件及变动后的技术、服务要求以及合同草案条款的实质性要求的，将视为无效响应文件。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.最后报价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.1　磋商结束后，磋商小组应当要求所有实质性响应的供应商在规定时间内提交最后报价，提交最后报价的供应商原则上不得少于</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经评审小组同意也可为2家</w:t>
      </w:r>
      <w:r>
        <w:rPr>
          <w:rFonts w:hint="eastAsia" w:ascii="宋体" w:hAnsi="宋体" w:cs="宋体"/>
          <w:color w:val="auto"/>
          <w:kern w:val="0"/>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.2　磋商文件不能详细列明采购标的技术、服务要求，需经磋商由供应商提供最终设计方案或解决方案的，磋商结束后，磋商小组应当按照少数服从多数的原则投票推荐</w:t>
      </w:r>
      <w:r>
        <w:rPr>
          <w:rFonts w:hint="eastAsia" w:ascii="宋体" w:hAnsi="宋体" w:eastAsia="宋体" w:cs="宋体"/>
          <w:color w:val="auto"/>
          <w:kern w:val="0"/>
          <w:szCs w:val="21"/>
          <w:highlight w:val="none"/>
          <w:lang w:eastAsia="zh-CN"/>
        </w:rPr>
        <w:t>原则上</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家以上供应商的设计方案或者解决方案，经评审小组同意也可为2家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并要求其在规定时间内提交最后报价</w:t>
      </w:r>
      <w:r>
        <w:rPr>
          <w:rFonts w:hint="eastAsia" w:ascii="宋体" w:hAnsi="宋体" w:eastAsia="宋体" w:cs="宋体"/>
          <w:color w:val="auto"/>
          <w:kern w:val="0"/>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.3　最后报价是供应商响应文件的有效组成部分。如磋商小组没有对磋商文件作实质性变动或增加新的需求，最后报价不得高于首轮报价。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.最后报价评审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.1　最后报价计算错误修正的原则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(1)最后报价的大写金额和小写金额不一致的，以大写金额为准。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(2)总价金额与按分项报价汇总金额不一致的，以分项报价金额计算结果为准。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(3)分项报价金额小数点有明显错位的，应以总价为准，并修改分项报价。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(4)如果供应商不接受对其错误的更正，其最后报价将被视为无效报价或确定为无效响应。</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价格得分：以供应商的最后报价作为价格评分依据。供应商的评审价为按上述条款修正后的价格。</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价格评分统一采用低价优先法计算，即满足磋商文件要求且价格最低的评审价为评审基准价，其价格分为满分。其他供应商的价格分统一按照下列公式计算：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价格评分＝(评审基准价/评审价)×价格分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.综合评审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.1　经磋商确定最终采购需求和提交最后报价的供应商后，由磋商小组采用综合评分法对提交最后报价的供应商的响应文件和最后报价进行综合评分。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.2　评审办法及标准见第三章。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.3　评审时，磋商小组成员应当独立对每个有效响应的文件进行评价、打分，然后汇总每个供应商每项评分因素的得分。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rPr>
        <w:t>.提出成交供应商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rPr>
        <w:t>.1　磋商小组应当按照综合评分由高到低的顺序提出3名以上成交候选供应商，并编写评审报告。经评审小组同意也可推荐2家成交候选供应商。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rPr>
        <w:t>.2　评审得分相同的，按照最后报价由低到高的顺序推荐。评审得分且最后报价相同的，按照技术分高优先的顺序推荐。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27</w:t>
      </w:r>
      <w:r>
        <w:rPr>
          <w:rFonts w:hint="eastAsia" w:ascii="宋体" w:hAnsi="宋体" w:eastAsia="宋体" w:cs="宋体"/>
          <w:color w:val="auto"/>
          <w:kern w:val="0"/>
          <w:szCs w:val="21"/>
          <w:highlight w:val="none"/>
        </w:rPr>
        <w:t>.确定成交供应商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27</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　采购人自行组织磋商，应当在评审结束之日起5个工作日内确定成交供应商。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28</w:t>
      </w:r>
      <w:r>
        <w:rPr>
          <w:rFonts w:hint="eastAsia" w:ascii="宋体" w:hAnsi="宋体" w:eastAsia="宋体" w:cs="宋体"/>
          <w:color w:val="auto"/>
          <w:kern w:val="0"/>
          <w:szCs w:val="21"/>
          <w:highlight w:val="none"/>
        </w:rPr>
        <w:t>.磋商终止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28</w:t>
      </w:r>
      <w:r>
        <w:rPr>
          <w:rFonts w:hint="eastAsia" w:ascii="宋体" w:hAnsi="宋体" w:eastAsia="宋体" w:cs="宋体"/>
          <w:color w:val="auto"/>
          <w:kern w:val="0"/>
          <w:szCs w:val="21"/>
          <w:highlight w:val="none"/>
        </w:rPr>
        <w:t>.1　出现下列情形之一的，采购人或者采购代理机构应当终止磋商采购活动，在指定的媒体上发布项目终止公告并说明原因，重新开展采购活动：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(1)因情况变化，不再符合规定的磋商采购方式适用情形的；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(2)出现影响采购公正的违法、违规行为的；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(3)采购过程中符合竞争要求的供应商或者报价未超过采购预算的供应商不足</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家的，或者提交最后报价的供应商少于</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家的</w:t>
      </w:r>
      <w:r>
        <w:rPr>
          <w:rFonts w:hint="eastAsia" w:ascii="宋体" w:hAnsi="宋体" w:eastAsia="宋体" w:cs="宋体"/>
          <w:color w:val="auto"/>
          <w:kern w:val="0"/>
          <w:szCs w:val="21"/>
          <w:highlight w:val="none"/>
          <w:lang w:eastAsia="zh-CN"/>
        </w:rPr>
        <w:t>，除</w:t>
      </w:r>
      <w:r>
        <w:rPr>
          <w:rFonts w:hint="eastAsia" w:ascii="宋体" w:hAnsi="宋体" w:eastAsia="宋体" w:cs="宋体"/>
          <w:color w:val="auto"/>
          <w:kern w:val="0"/>
          <w:szCs w:val="21"/>
          <w:highlight w:val="none"/>
        </w:rPr>
        <w:t>经评审小组同意也可为2家</w:t>
      </w:r>
      <w:r>
        <w:rPr>
          <w:rFonts w:hint="eastAsia" w:ascii="宋体" w:hAnsi="宋体" w:eastAsia="宋体" w:cs="宋体"/>
          <w:color w:val="auto"/>
          <w:kern w:val="0"/>
          <w:szCs w:val="21"/>
          <w:highlight w:val="none"/>
          <w:lang w:eastAsia="zh-CN"/>
        </w:rPr>
        <w:t>的情形外（</w:t>
      </w:r>
      <w:r>
        <w:rPr>
          <w:rFonts w:hint="eastAsia" w:ascii="宋体" w:hAnsi="宋体" w:eastAsia="宋体" w:cs="宋体"/>
          <w:color w:val="auto"/>
          <w:kern w:val="0"/>
          <w:szCs w:val="21"/>
          <w:highlight w:val="none"/>
        </w:rPr>
        <w:t>根据《国家税务总局广西壮族自治区税务局办公室关于修订印发《国家税务总局广西壮族自治区税务局系统目录外标准下项目采购管理暂行办法》的通知》</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(4)因重大变故，采购任务取消的。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29</w:t>
      </w:r>
      <w:r>
        <w:rPr>
          <w:rFonts w:hint="eastAsia" w:ascii="宋体" w:hAnsi="宋体" w:eastAsia="宋体" w:cs="宋体"/>
          <w:color w:val="auto"/>
          <w:kern w:val="0"/>
          <w:szCs w:val="21"/>
          <w:highlight w:val="none"/>
        </w:rPr>
        <w:t>.重新评审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29</w:t>
      </w:r>
      <w:r>
        <w:rPr>
          <w:rFonts w:hint="eastAsia" w:ascii="宋体" w:hAnsi="宋体" w:eastAsia="宋体" w:cs="宋体"/>
          <w:color w:val="auto"/>
          <w:kern w:val="0"/>
          <w:szCs w:val="21"/>
          <w:highlight w:val="none"/>
        </w:rPr>
        <w:t>.1　除资格性检查认定错误、分值汇总计算错误、分项评分超出评分标准范围、客观分评分不一致、经磋商小组一致认定评分畸高、畸低的情形外，采购人或者采购代理机构不得以任何理由组织重新评审。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30</w:t>
      </w:r>
      <w:r>
        <w:rPr>
          <w:rFonts w:hint="eastAsia" w:ascii="宋体" w:hAnsi="宋体" w:eastAsia="宋体" w:cs="宋体"/>
          <w:color w:val="auto"/>
          <w:kern w:val="0"/>
          <w:szCs w:val="21"/>
          <w:highlight w:val="none"/>
        </w:rPr>
        <w:t>.保密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cs="宋体"/>
          <w:color w:val="auto"/>
          <w:kern w:val="0"/>
          <w:szCs w:val="21"/>
          <w:highlight w:val="none"/>
          <w:lang w:val="en-US" w:eastAsia="zh-CN"/>
        </w:rPr>
        <w:t>0</w:t>
      </w:r>
      <w:r>
        <w:rPr>
          <w:rFonts w:hint="eastAsia" w:ascii="宋体" w:hAnsi="宋体" w:eastAsia="宋体" w:cs="宋体"/>
          <w:color w:val="auto"/>
          <w:kern w:val="0"/>
          <w:szCs w:val="21"/>
          <w:highlight w:val="none"/>
        </w:rPr>
        <w:t>.1　磋商小组成员以及与评审工作有关的人员不得泄露评审情况以及评审过程中获悉的国家秘密、商业秘密。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rPr>
        <w:t>.禁止行为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rPr>
        <w:t>.1　供应商不得与采购人、采购代理机构、其他供应商恶意串通；不得向采购人、采购代理机构或者磋商小组成员行贿或者提供其他不正当利益；不得提供虚假材料谋取成交；不得以任何方式干扰、影响采购工作。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五、成交结果信息公布与签订合同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.成交信息的公布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.1　成交供应商确定之日起2个工作日内，采购人或者采购代理机构应在磋商须知前附表中规定的公告媒体上公布成交结果信息。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.2　磋商文件随成交结果同时公告。但成交结果公告前磋商文件已公告的，不再重复公告。</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.3　采用书面推荐供应商参加采购活动的，在公告结果同时公告采购人和评审专家的推荐意见。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.成交通知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.1　成交供应商确定后，采购人或采购代理机构在发布成交公告的同时以书面形式向成交供应商发出成交通知书。成交通知书对采购人和成交供应商具有同等法律效力。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.签订合同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.1　磋商文件、成交供应商的响应文件及补充文件等均为签订</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合同的依据。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.2　成交供应商应当在成交通知书发出之日起</w:t>
      </w:r>
      <w:r>
        <w:rPr>
          <w:rFonts w:hint="eastAsia" w:ascii="宋体" w:hAnsi="宋体" w:eastAsia="宋体" w:cs="宋体"/>
          <w:color w:val="auto"/>
          <w:kern w:val="0"/>
          <w:szCs w:val="21"/>
          <w:highlight w:val="none"/>
          <w:lang w:val="en-US" w:eastAsia="zh-CN"/>
        </w:rPr>
        <w:t>30</w:t>
      </w:r>
      <w:r>
        <w:rPr>
          <w:rFonts w:hint="eastAsia" w:ascii="宋体" w:hAnsi="宋体" w:eastAsia="宋体" w:cs="宋体"/>
          <w:color w:val="auto"/>
          <w:kern w:val="0"/>
          <w:szCs w:val="21"/>
          <w:highlight w:val="none"/>
        </w:rPr>
        <w:t>日内与采购人签订</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合同。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.3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六、其他规定</w:t>
      </w:r>
    </w:p>
    <w:bookmarkEnd w:id="46"/>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jc w:val="center"/>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bookmarkStart w:id="47" w:name="_Toc22872"/>
      <w:bookmarkStart w:id="48" w:name="_Toc13354"/>
      <w:bookmarkStart w:id="49" w:name="_Toc28148"/>
      <w:r>
        <w:rPr>
          <w:rStyle w:val="59"/>
          <w:rFonts w:hint="eastAsia"/>
          <w:color w:val="auto"/>
          <w:highlight w:val="none"/>
        </w:rPr>
        <w:t>第三章 评审方法及标准</w:t>
      </w:r>
      <w:bookmarkEnd w:id="47"/>
      <w:bookmarkEnd w:id="48"/>
      <w:bookmarkEnd w:id="49"/>
    </w:p>
    <w:p>
      <w:pPr>
        <w:pStyle w:val="2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auto"/>
          <w:sz w:val="24"/>
          <w:szCs w:val="24"/>
          <w:highlight w:val="none"/>
        </w:rPr>
      </w:pPr>
      <w:bookmarkStart w:id="50" w:name="_Toc11183"/>
      <w:r>
        <w:rPr>
          <w:rFonts w:hint="eastAsia" w:ascii="宋体" w:hAnsi="宋体" w:eastAsia="宋体" w:cs="宋体"/>
          <w:b/>
          <w:color w:val="auto"/>
          <w:sz w:val="24"/>
          <w:szCs w:val="24"/>
          <w:highlight w:val="none"/>
        </w:rPr>
        <w:t>一、评标原则</w:t>
      </w:r>
      <w:bookmarkEnd w:id="50"/>
    </w:p>
    <w:p>
      <w:pPr>
        <w:pStyle w:val="2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r>
        <w:rPr>
          <w:rFonts w:hint="eastAsia" w:ascii="宋体" w:hAnsi="宋体" w:eastAsia="宋体" w:cs="宋体"/>
          <w:b/>
          <w:color w:val="auto"/>
          <w:sz w:val="24"/>
          <w:szCs w:val="24"/>
          <w:highlight w:val="none"/>
          <w:lang w:val="en-US" w:eastAsia="zh-CN"/>
        </w:rPr>
        <w:t>磋商小组</w:t>
      </w:r>
      <w:r>
        <w:rPr>
          <w:rFonts w:hint="eastAsia" w:ascii="宋体" w:hAnsi="宋体" w:eastAsia="宋体" w:cs="宋体"/>
          <w:b/>
          <w:color w:val="auto"/>
          <w:sz w:val="24"/>
          <w:szCs w:val="24"/>
          <w:highlight w:val="none"/>
        </w:rPr>
        <w:t>：由</w:t>
      </w:r>
      <w:r>
        <w:rPr>
          <w:rFonts w:hint="eastAsia" w:ascii="宋体" w:hAnsi="宋体" w:eastAsia="宋体" w:cs="宋体"/>
          <w:b/>
          <w:color w:val="auto"/>
          <w:sz w:val="24"/>
          <w:szCs w:val="24"/>
          <w:highlight w:val="none"/>
          <w:lang w:val="en-US" w:eastAsia="zh-CN"/>
        </w:rPr>
        <w:t>采购人自行组建和开展评标工作。</w:t>
      </w:r>
    </w:p>
    <w:p>
      <w:pPr>
        <w:pStyle w:val="2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(二)评</w:t>
      </w:r>
      <w:r>
        <w:rPr>
          <w:rFonts w:hint="eastAsia" w:ascii="宋体" w:hAnsi="宋体" w:eastAsia="宋体" w:cs="宋体"/>
          <w:b/>
          <w:color w:val="auto"/>
          <w:sz w:val="24"/>
          <w:szCs w:val="24"/>
          <w:highlight w:val="none"/>
          <w:lang w:val="en-US" w:eastAsia="zh-CN"/>
        </w:rPr>
        <w:t>审</w:t>
      </w:r>
      <w:r>
        <w:rPr>
          <w:rFonts w:hint="eastAsia" w:ascii="宋体" w:hAnsi="宋体" w:eastAsia="宋体" w:cs="宋体"/>
          <w:b/>
          <w:color w:val="auto"/>
          <w:sz w:val="24"/>
          <w:szCs w:val="24"/>
          <w:highlight w:val="none"/>
        </w:rPr>
        <w:t>依据：</w:t>
      </w:r>
      <w:r>
        <w:rPr>
          <w:rFonts w:hint="eastAsia" w:ascii="宋体" w:hAnsi="宋体" w:eastAsia="宋体" w:cs="宋体"/>
          <w:b/>
          <w:color w:val="auto"/>
          <w:sz w:val="24"/>
          <w:szCs w:val="24"/>
          <w:highlight w:val="none"/>
          <w:lang w:val="en-US" w:eastAsia="zh-CN"/>
        </w:rPr>
        <w:t>磋商小组</w:t>
      </w:r>
      <w:r>
        <w:rPr>
          <w:rFonts w:hint="eastAsia" w:ascii="宋体" w:hAnsi="宋体" w:eastAsia="宋体" w:cs="宋体"/>
          <w:b/>
          <w:color w:val="auto"/>
          <w:sz w:val="24"/>
          <w:szCs w:val="24"/>
          <w:highlight w:val="none"/>
        </w:rPr>
        <w:t>将以</w:t>
      </w:r>
      <w:r>
        <w:rPr>
          <w:rFonts w:hint="eastAsia" w:ascii="宋体" w:hAnsi="宋体" w:eastAsia="宋体" w:cs="宋体"/>
          <w:b/>
          <w:color w:val="auto"/>
          <w:sz w:val="24"/>
          <w:szCs w:val="24"/>
          <w:highlight w:val="none"/>
          <w:lang w:val="en-US" w:eastAsia="zh-CN"/>
        </w:rPr>
        <w:t>采购</w:t>
      </w:r>
      <w:r>
        <w:rPr>
          <w:rFonts w:hint="eastAsia" w:ascii="宋体" w:hAnsi="宋体" w:eastAsia="宋体" w:cs="宋体"/>
          <w:b/>
          <w:color w:val="auto"/>
          <w:sz w:val="24"/>
          <w:szCs w:val="24"/>
          <w:highlight w:val="none"/>
          <w:lang w:eastAsia="zh-CN"/>
        </w:rPr>
        <w:t>文件</w:t>
      </w:r>
      <w:r>
        <w:rPr>
          <w:rFonts w:hint="eastAsia" w:ascii="宋体" w:hAnsi="宋体" w:eastAsia="宋体" w:cs="宋体"/>
          <w:b/>
          <w:color w:val="auto"/>
          <w:sz w:val="24"/>
          <w:szCs w:val="24"/>
          <w:highlight w:val="none"/>
        </w:rPr>
        <w:t>为评</w:t>
      </w:r>
      <w:r>
        <w:rPr>
          <w:rFonts w:hint="eastAsia" w:ascii="宋体" w:hAnsi="宋体" w:eastAsia="宋体" w:cs="宋体"/>
          <w:b/>
          <w:color w:val="auto"/>
          <w:sz w:val="24"/>
          <w:szCs w:val="24"/>
          <w:highlight w:val="none"/>
          <w:lang w:val="en-US" w:eastAsia="zh-CN"/>
        </w:rPr>
        <w:t>审</w:t>
      </w:r>
      <w:r>
        <w:rPr>
          <w:rFonts w:hint="eastAsia" w:ascii="宋体" w:hAnsi="宋体" w:eastAsia="宋体" w:cs="宋体"/>
          <w:b/>
          <w:color w:val="auto"/>
          <w:sz w:val="24"/>
          <w:szCs w:val="24"/>
          <w:highlight w:val="none"/>
        </w:rPr>
        <w:t>依据，对</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的投标报价、技术服务能力、</w:t>
      </w:r>
      <w:r>
        <w:rPr>
          <w:rFonts w:hint="eastAsia" w:ascii="宋体" w:hAnsi="宋体" w:eastAsia="宋体" w:cs="宋体"/>
          <w:b/>
          <w:color w:val="auto"/>
          <w:sz w:val="24"/>
          <w:szCs w:val="24"/>
          <w:highlight w:val="none"/>
          <w:lang w:val="en-US" w:eastAsia="zh-CN"/>
        </w:rPr>
        <w:t>业绩</w:t>
      </w:r>
      <w:r>
        <w:rPr>
          <w:rFonts w:hint="eastAsia" w:ascii="宋体" w:hAnsi="宋体" w:eastAsia="宋体" w:cs="宋体"/>
          <w:b/>
          <w:color w:val="auto"/>
          <w:sz w:val="24"/>
          <w:szCs w:val="24"/>
          <w:highlight w:val="none"/>
        </w:rPr>
        <w:t>信誉等方面内容按百分制打分。其中价格分3</w:t>
      </w:r>
      <w:r>
        <w:rPr>
          <w:rFonts w:hint="eastAsia" w:hAnsi="宋体" w:cs="宋体"/>
          <w:b/>
          <w:color w:val="auto"/>
          <w:sz w:val="24"/>
          <w:szCs w:val="24"/>
          <w:highlight w:val="none"/>
          <w:lang w:val="en-US" w:eastAsia="zh-CN"/>
        </w:rPr>
        <w:t>5</w:t>
      </w:r>
      <w:r>
        <w:rPr>
          <w:rFonts w:hint="eastAsia" w:ascii="宋体" w:hAnsi="宋体" w:eastAsia="宋体" w:cs="宋体"/>
          <w:b/>
          <w:color w:val="auto"/>
          <w:sz w:val="24"/>
          <w:szCs w:val="24"/>
          <w:highlight w:val="none"/>
        </w:rPr>
        <w:t>分、</w:t>
      </w:r>
      <w:r>
        <w:rPr>
          <w:rFonts w:hint="eastAsia" w:ascii="宋体" w:hAnsi="宋体" w:eastAsia="宋体" w:cs="宋体"/>
          <w:b/>
          <w:color w:val="auto"/>
          <w:sz w:val="24"/>
          <w:szCs w:val="24"/>
          <w:highlight w:val="none"/>
          <w:lang w:val="en-US" w:eastAsia="zh-CN"/>
        </w:rPr>
        <w:t>技术服务能力</w:t>
      </w:r>
      <w:r>
        <w:rPr>
          <w:rFonts w:hint="eastAsia" w:ascii="宋体" w:hAnsi="宋体" w:eastAsia="宋体" w:cs="宋体"/>
          <w:b/>
          <w:color w:val="auto"/>
          <w:sz w:val="24"/>
          <w:szCs w:val="24"/>
          <w:highlight w:val="none"/>
        </w:rPr>
        <w:t>分</w:t>
      </w:r>
      <w:r>
        <w:rPr>
          <w:rFonts w:hint="eastAsia" w:ascii="宋体" w:hAnsi="宋体" w:eastAsia="宋体" w:cs="宋体"/>
          <w:b/>
          <w:color w:val="auto"/>
          <w:sz w:val="24"/>
          <w:szCs w:val="24"/>
          <w:highlight w:val="none"/>
          <w:lang w:val="en-US" w:eastAsia="zh-CN"/>
        </w:rPr>
        <w:t>50</w:t>
      </w:r>
      <w:r>
        <w:rPr>
          <w:rFonts w:hint="eastAsia" w:ascii="宋体" w:hAnsi="宋体" w:eastAsia="宋体" w:cs="宋体"/>
          <w:b/>
          <w:color w:val="auto"/>
          <w:sz w:val="24"/>
          <w:szCs w:val="24"/>
          <w:highlight w:val="none"/>
        </w:rPr>
        <w:t>分、</w:t>
      </w:r>
      <w:r>
        <w:rPr>
          <w:rFonts w:hint="eastAsia" w:ascii="宋体" w:hAnsi="宋体" w:eastAsia="宋体" w:cs="宋体"/>
          <w:b/>
          <w:color w:val="auto"/>
          <w:sz w:val="24"/>
          <w:szCs w:val="24"/>
          <w:highlight w:val="none"/>
          <w:lang w:val="en-US" w:eastAsia="zh-CN"/>
        </w:rPr>
        <w:t>业绩信誉</w:t>
      </w:r>
      <w:r>
        <w:rPr>
          <w:rFonts w:hint="eastAsia" w:ascii="宋体" w:hAnsi="宋体" w:eastAsia="宋体" w:cs="宋体"/>
          <w:b/>
          <w:color w:val="auto"/>
          <w:sz w:val="24"/>
          <w:szCs w:val="24"/>
          <w:highlight w:val="none"/>
        </w:rPr>
        <w:t>分</w:t>
      </w:r>
      <w:r>
        <w:rPr>
          <w:rFonts w:hint="eastAsia" w:hAnsi="宋体" w:cs="宋体"/>
          <w:b/>
          <w:color w:val="auto"/>
          <w:sz w:val="24"/>
          <w:szCs w:val="24"/>
          <w:highlight w:val="none"/>
          <w:lang w:val="en-US" w:eastAsia="zh-CN"/>
        </w:rPr>
        <w:t>15</w:t>
      </w:r>
      <w:r>
        <w:rPr>
          <w:rFonts w:hint="eastAsia" w:ascii="宋体" w:hAnsi="宋体" w:eastAsia="宋体" w:cs="宋体"/>
          <w:b/>
          <w:color w:val="auto"/>
          <w:sz w:val="24"/>
          <w:szCs w:val="24"/>
          <w:highlight w:val="none"/>
        </w:rPr>
        <w:t>分。</w:t>
      </w:r>
    </w:p>
    <w:p>
      <w:pPr>
        <w:pStyle w:val="2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eastAsia="zh-CN"/>
        </w:rPr>
        <w:t>评审</w:t>
      </w:r>
      <w:r>
        <w:rPr>
          <w:rFonts w:hint="eastAsia" w:ascii="宋体" w:hAnsi="宋体" w:eastAsia="宋体" w:cs="宋体"/>
          <w:b/>
          <w:bCs/>
          <w:color w:val="auto"/>
          <w:sz w:val="24"/>
          <w:szCs w:val="24"/>
          <w:highlight w:val="none"/>
        </w:rPr>
        <w:t>方法</w:t>
      </w:r>
    </w:p>
    <w:p>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（一）首先由磋商小组依法对供应商的资格进行</w:t>
      </w:r>
      <w:r>
        <w:rPr>
          <w:rFonts w:hint="eastAsia" w:hAnsi="宋体" w:cs="宋体"/>
          <w:bCs/>
          <w:color w:val="auto"/>
          <w:sz w:val="24"/>
          <w:szCs w:val="24"/>
          <w:highlight w:val="none"/>
          <w:lang w:eastAsia="zh-CN"/>
        </w:rPr>
        <w:t>资格性</w:t>
      </w:r>
      <w:r>
        <w:rPr>
          <w:rFonts w:hint="eastAsia" w:ascii="宋体" w:hAnsi="宋体" w:eastAsia="宋体" w:cs="宋体"/>
          <w:bCs/>
          <w:color w:val="auto"/>
          <w:sz w:val="24"/>
          <w:szCs w:val="24"/>
          <w:highlight w:val="none"/>
        </w:rPr>
        <w:t>评审，再由评委对响应文件进行符合性评审，只有资格性评审、符合性评审合格的响应文件才能进入详评。</w:t>
      </w:r>
    </w:p>
    <w:p>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（二）对进入详评的，采用百分制综合评分法。</w:t>
      </w:r>
    </w:p>
    <w:p>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（三）计分办法（按四舍五入取至百分位）</w:t>
      </w:r>
    </w:p>
    <w:p>
      <w:pPr>
        <w:pStyle w:val="2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1、价格分…………………………………………………………………</w:t>
      </w:r>
      <w:r>
        <w:rPr>
          <w:rFonts w:hint="eastAsia" w:hAnsi="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rPr>
        <w:t>分</w:t>
      </w:r>
    </w:p>
    <w:p>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受托咨询费报价比例</w:t>
      </w:r>
    </w:p>
    <w:p>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南宁市内企业重点人群退税金额*</w:t>
      </w:r>
      <w:r>
        <w:rPr>
          <w:rFonts w:hint="eastAsia" w:ascii="宋体" w:hAnsi="宋体" w:eastAsia="宋体" w:cs="宋体"/>
          <w:b w:val="0"/>
          <w:bCs/>
          <w:color w:val="auto"/>
          <w:kern w:val="0"/>
          <w:sz w:val="24"/>
          <w:szCs w:val="24"/>
          <w:highlight w:val="none"/>
          <w:u w:val="single"/>
          <w:lang w:val="en-US" w:eastAsia="zh-CN" w:bidi="ar-SA"/>
        </w:rPr>
        <w:t xml:space="preserve">           </w:t>
      </w:r>
      <w:r>
        <w:rPr>
          <w:rFonts w:hint="eastAsia" w:ascii="宋体" w:hAnsi="宋体" w:eastAsia="宋体" w:cs="宋体"/>
          <w:b w:val="0"/>
          <w:bCs/>
          <w:color w:val="auto"/>
          <w:kern w:val="0"/>
          <w:sz w:val="24"/>
          <w:szCs w:val="24"/>
          <w:highlight w:val="none"/>
          <w:lang w:val="en-US" w:eastAsia="zh-CN" w:bidi="ar-SA"/>
        </w:rPr>
        <w:t>%；</w:t>
      </w:r>
    </w:p>
    <w:p>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南宁市外企业重点人群退税金额*</w:t>
      </w:r>
      <w:r>
        <w:rPr>
          <w:rFonts w:hint="eastAsia" w:ascii="宋体" w:hAnsi="宋体" w:eastAsia="宋体" w:cs="宋体"/>
          <w:b w:val="0"/>
          <w:bCs/>
          <w:color w:val="auto"/>
          <w:kern w:val="0"/>
          <w:sz w:val="24"/>
          <w:szCs w:val="24"/>
          <w:highlight w:val="none"/>
          <w:u w:val="single"/>
          <w:lang w:val="en-US" w:eastAsia="zh-CN" w:bidi="ar-SA"/>
        </w:rPr>
        <w:t xml:space="preserve">           </w:t>
      </w:r>
      <w:r>
        <w:rPr>
          <w:rFonts w:hint="eastAsia" w:ascii="宋体" w:hAnsi="宋体" w:eastAsia="宋体" w:cs="宋体"/>
          <w:b w:val="0"/>
          <w:bCs/>
          <w:color w:val="auto"/>
          <w:kern w:val="0"/>
          <w:sz w:val="24"/>
          <w:szCs w:val="24"/>
          <w:highlight w:val="none"/>
          <w:lang w:val="en-US" w:eastAsia="zh-CN" w:bidi="ar-SA"/>
        </w:rPr>
        <w:t>%；</w:t>
      </w:r>
    </w:p>
    <w:p>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南宁市内人社惠企补贴项目*</w:t>
      </w:r>
      <w:r>
        <w:rPr>
          <w:rFonts w:hint="eastAsia" w:ascii="宋体" w:hAnsi="宋体" w:eastAsia="宋体" w:cs="宋体"/>
          <w:b w:val="0"/>
          <w:bCs/>
          <w:color w:val="auto"/>
          <w:kern w:val="0"/>
          <w:sz w:val="24"/>
          <w:szCs w:val="24"/>
          <w:highlight w:val="none"/>
          <w:u w:val="single"/>
          <w:lang w:val="en-US" w:eastAsia="zh-CN" w:bidi="ar-SA"/>
        </w:rPr>
        <w:t xml:space="preserve">               </w:t>
      </w:r>
      <w:r>
        <w:rPr>
          <w:rFonts w:hint="eastAsia" w:ascii="宋体" w:hAnsi="宋体" w:eastAsia="宋体" w:cs="宋体"/>
          <w:b w:val="0"/>
          <w:bCs/>
          <w:color w:val="auto"/>
          <w:kern w:val="0"/>
          <w:sz w:val="24"/>
          <w:szCs w:val="24"/>
          <w:highlight w:val="none"/>
          <w:lang w:val="en-US" w:eastAsia="zh-CN" w:bidi="ar-SA"/>
        </w:rPr>
        <w:t xml:space="preserve"> %；</w:t>
      </w:r>
    </w:p>
    <w:p>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南宁市外人社惠企补贴项目*</w:t>
      </w:r>
      <w:r>
        <w:rPr>
          <w:rFonts w:hint="eastAsia" w:ascii="宋体" w:hAnsi="宋体" w:eastAsia="宋体" w:cs="宋体"/>
          <w:b w:val="0"/>
          <w:bCs/>
          <w:color w:val="auto"/>
          <w:kern w:val="0"/>
          <w:sz w:val="24"/>
          <w:szCs w:val="24"/>
          <w:highlight w:val="none"/>
          <w:u w:val="single"/>
          <w:lang w:val="en-US" w:eastAsia="zh-CN" w:bidi="ar-SA"/>
        </w:rPr>
        <w:t xml:space="preserve">                </w:t>
      </w:r>
      <w:r>
        <w:rPr>
          <w:rFonts w:hint="eastAsia" w:ascii="宋体" w:hAnsi="宋体" w:eastAsia="宋体" w:cs="宋体"/>
          <w:b w:val="0"/>
          <w:bCs/>
          <w:color w:val="auto"/>
          <w:kern w:val="0"/>
          <w:sz w:val="24"/>
          <w:szCs w:val="24"/>
          <w:highlight w:val="none"/>
          <w:lang w:val="en-US" w:eastAsia="zh-CN" w:bidi="ar-SA"/>
        </w:rPr>
        <w:t>%；</w:t>
      </w:r>
    </w:p>
    <w:p>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bCs/>
          <w:color w:val="auto"/>
          <w:sz w:val="24"/>
          <w:szCs w:val="24"/>
          <w:highlight w:val="none"/>
          <w:lang w:val="en-US" w:eastAsia="zh-CN"/>
        </w:rPr>
      </w:pPr>
      <w:r>
        <w:rPr>
          <w:rFonts w:hint="eastAsia" w:hAnsi="宋体" w:cs="宋体"/>
          <w:bCs/>
          <w:color w:val="auto"/>
          <w:sz w:val="24"/>
          <w:szCs w:val="24"/>
          <w:highlight w:val="none"/>
          <w:lang w:val="en-US" w:eastAsia="zh-CN"/>
        </w:rPr>
        <w:t>综合价格中稍低者可获高分。</w:t>
      </w:r>
    </w:p>
    <w:p>
      <w:pPr>
        <w:pStyle w:val="2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2、技术服务能力分…………………………………………………………</w:t>
      </w:r>
      <w:r>
        <w:rPr>
          <w:rFonts w:hint="eastAsia" w:ascii="宋体" w:hAnsi="宋体" w:eastAsia="宋体" w:cs="宋体"/>
          <w:b/>
          <w:bCs/>
          <w:color w:val="auto"/>
          <w:sz w:val="24"/>
          <w:szCs w:val="24"/>
          <w:highlight w:val="none"/>
          <w:lang w:val="en-US" w:eastAsia="zh-CN"/>
        </w:rPr>
        <w:t>50</w:t>
      </w:r>
      <w:r>
        <w:rPr>
          <w:rFonts w:hint="eastAsia" w:ascii="宋体" w:hAnsi="宋体" w:eastAsia="宋体" w:cs="宋体"/>
          <w:b/>
          <w:bCs/>
          <w:color w:val="auto"/>
          <w:sz w:val="24"/>
          <w:szCs w:val="24"/>
          <w:highlight w:val="none"/>
        </w:rPr>
        <w:t>分</w:t>
      </w:r>
    </w:p>
    <w:p>
      <w:pPr>
        <w:pStyle w:val="2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（1）筛查重点人员服务方案（满分20分）</w:t>
      </w:r>
    </w:p>
    <w:p>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一档:对培训项目总体有深刻认识，签约获得全部名单后1-2天内完成筛查集团全员脱贫人口和返贫监测人口，毫无遗漏并得出具体名单</w:t>
      </w:r>
      <w:r>
        <w:rPr>
          <w:rFonts w:hint="eastAsia" w:ascii="宋体" w:hAnsi="宋体"/>
          <w:color w:val="000000"/>
          <w:kern w:val="0"/>
          <w:szCs w:val="21"/>
          <w:lang w:eastAsia="zh-CN"/>
        </w:rPr>
        <w:t>，</w:t>
      </w:r>
      <w:r>
        <w:rPr>
          <w:rFonts w:hint="eastAsia" w:ascii="宋体" w:hAnsi="宋体" w:eastAsia="宋体" w:cs="宋体"/>
          <w:bCs/>
          <w:color w:val="auto"/>
          <w:sz w:val="24"/>
          <w:szCs w:val="24"/>
          <w:highlight w:val="none"/>
          <w:lang w:val="en-US" w:eastAsia="zh-CN"/>
        </w:rPr>
        <w:t>得</w:t>
      </w:r>
      <w:r>
        <w:rPr>
          <w:rFonts w:hint="eastAsia" w:hAnsi="宋体" w:cs="宋体"/>
          <w:bCs/>
          <w:color w:val="auto"/>
          <w:sz w:val="24"/>
          <w:szCs w:val="24"/>
          <w:highlight w:val="none"/>
          <w:lang w:val="en-US" w:eastAsia="zh-CN"/>
        </w:rPr>
        <w:t>20</w:t>
      </w:r>
      <w:r>
        <w:rPr>
          <w:rFonts w:hint="eastAsia" w:ascii="宋体" w:hAnsi="宋体" w:eastAsia="宋体" w:cs="宋体"/>
          <w:bCs/>
          <w:color w:val="auto"/>
          <w:sz w:val="24"/>
          <w:szCs w:val="24"/>
          <w:highlight w:val="none"/>
          <w:lang w:val="en-US" w:eastAsia="zh-CN"/>
        </w:rPr>
        <w:t>分；</w:t>
      </w:r>
    </w:p>
    <w:p>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二档：对培训项目总体有深刻认识，签约获得全部名单后在7-15天内完成筛查集团全员脱贫人口和返贫监测人口并得出具体名单，得</w:t>
      </w:r>
      <w:r>
        <w:rPr>
          <w:rFonts w:hint="eastAsia" w:hAnsi="宋体" w:cs="宋体"/>
          <w:bCs/>
          <w:color w:val="auto"/>
          <w:sz w:val="24"/>
          <w:szCs w:val="24"/>
          <w:highlight w:val="none"/>
          <w:lang w:val="en-US" w:eastAsia="zh-CN"/>
        </w:rPr>
        <w:t>16</w:t>
      </w:r>
      <w:r>
        <w:rPr>
          <w:rFonts w:hint="eastAsia" w:ascii="宋体" w:hAnsi="宋体" w:eastAsia="宋体" w:cs="宋体"/>
          <w:bCs/>
          <w:color w:val="auto"/>
          <w:sz w:val="24"/>
          <w:szCs w:val="24"/>
          <w:highlight w:val="none"/>
          <w:lang w:val="en-US" w:eastAsia="zh-CN"/>
        </w:rPr>
        <w:t>分;</w:t>
      </w:r>
    </w:p>
    <w:p>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三档: 对培训项目总体认识不足，签约获得全部名单后花费30天内完成筛查集团全员脱贫人口和返贫监测人口并得出具体名单，得</w:t>
      </w:r>
      <w:r>
        <w:rPr>
          <w:rFonts w:hint="eastAsia"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分。</w:t>
      </w:r>
    </w:p>
    <w:p>
      <w:pPr>
        <w:pStyle w:val="2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（2）成功退税或者申请减免和人社局补贴到账期限（满分</w:t>
      </w:r>
      <w:r>
        <w:rPr>
          <w:rFonts w:hint="eastAsia" w:hAnsi="宋体" w:cs="宋体"/>
          <w:b/>
          <w:bCs w:val="0"/>
          <w:color w:val="auto"/>
          <w:sz w:val="24"/>
          <w:szCs w:val="24"/>
          <w:highlight w:val="none"/>
          <w:lang w:val="en-US" w:eastAsia="zh-CN"/>
        </w:rPr>
        <w:t>20</w:t>
      </w:r>
      <w:r>
        <w:rPr>
          <w:rFonts w:hint="eastAsia" w:ascii="宋体" w:hAnsi="宋体" w:eastAsia="宋体" w:cs="宋体"/>
          <w:b/>
          <w:bCs w:val="0"/>
          <w:color w:val="auto"/>
          <w:sz w:val="24"/>
          <w:szCs w:val="24"/>
          <w:highlight w:val="none"/>
          <w:lang w:val="en-US" w:eastAsia="zh-CN"/>
        </w:rPr>
        <w:t>分）</w:t>
      </w:r>
    </w:p>
    <w:p>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一档:保持紧密联系，在项目签约后在每期资料及时提供的情况下退税额或者补贴资金南宁市内项目15个工作日到</w:t>
      </w:r>
      <w:r>
        <w:rPr>
          <w:rFonts w:hint="eastAsia" w:hAnsi="宋体" w:cs="宋体"/>
          <w:bCs/>
          <w:color w:val="auto"/>
          <w:sz w:val="24"/>
          <w:szCs w:val="24"/>
          <w:highlight w:val="none"/>
          <w:lang w:val="en-US" w:eastAsia="zh-CN"/>
        </w:rPr>
        <w:t>帐</w:t>
      </w:r>
      <w:r>
        <w:rPr>
          <w:rFonts w:hint="eastAsia" w:ascii="宋体" w:hAnsi="宋体" w:eastAsia="宋体" w:cs="宋体"/>
          <w:bCs/>
          <w:color w:val="auto"/>
          <w:sz w:val="24"/>
          <w:szCs w:val="24"/>
          <w:highlight w:val="none"/>
        </w:rPr>
        <w:t>；南宁市外广西区内项目30个工作日款项到账或者减免申请成功；广西区外项目40个工作日款项到账或者减免申请成功</w:t>
      </w:r>
      <w:r>
        <w:rPr>
          <w:rFonts w:hint="eastAsia" w:ascii="宋体" w:hAnsi="宋体" w:eastAsia="宋体" w:cs="宋体"/>
          <w:bCs/>
          <w:color w:val="auto"/>
          <w:sz w:val="24"/>
          <w:szCs w:val="24"/>
          <w:highlight w:val="none"/>
          <w:lang w:val="en-US" w:eastAsia="zh-CN"/>
        </w:rPr>
        <w:t>，得</w:t>
      </w:r>
      <w:r>
        <w:rPr>
          <w:rFonts w:hint="eastAsia" w:hAnsi="宋体" w:cs="宋体"/>
          <w:bCs/>
          <w:color w:val="auto"/>
          <w:sz w:val="24"/>
          <w:szCs w:val="24"/>
          <w:highlight w:val="none"/>
          <w:lang w:val="en-US" w:eastAsia="zh-CN"/>
        </w:rPr>
        <w:t>16-20</w:t>
      </w:r>
      <w:r>
        <w:rPr>
          <w:rFonts w:hint="eastAsia" w:ascii="宋体" w:hAnsi="宋体" w:eastAsia="宋体" w:cs="宋体"/>
          <w:bCs/>
          <w:color w:val="auto"/>
          <w:sz w:val="24"/>
          <w:szCs w:val="24"/>
          <w:highlight w:val="none"/>
          <w:lang w:val="en-US" w:eastAsia="zh-CN"/>
        </w:rPr>
        <w:t>分；</w:t>
      </w:r>
    </w:p>
    <w:p>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二档：保持紧密联系，在项目签约后在每期资料及时提供的情况下退税额或者补贴资金南宁市内项目20个工作日到内；南宁市外广西区内项目40个工作日款项到账或者减免申请成功；广西区外项目45个工作日款项到账或者减免申请成功</w:t>
      </w:r>
      <w:r>
        <w:rPr>
          <w:rFonts w:hint="eastAsia" w:ascii="宋体" w:hAnsi="宋体" w:eastAsia="宋体" w:cs="宋体"/>
          <w:bCs/>
          <w:color w:val="auto"/>
          <w:sz w:val="24"/>
          <w:szCs w:val="24"/>
          <w:highlight w:val="none"/>
          <w:lang w:val="en-US" w:eastAsia="zh-CN"/>
        </w:rPr>
        <w:t>，得</w:t>
      </w:r>
      <w:r>
        <w:rPr>
          <w:rFonts w:hint="eastAsia" w:hAnsi="宋体" w:cs="宋体"/>
          <w:bCs/>
          <w:color w:val="auto"/>
          <w:sz w:val="24"/>
          <w:szCs w:val="24"/>
          <w:highlight w:val="none"/>
          <w:lang w:val="en-US" w:eastAsia="zh-CN"/>
        </w:rPr>
        <w:t>8-15</w:t>
      </w:r>
      <w:r>
        <w:rPr>
          <w:rFonts w:hint="eastAsia" w:ascii="宋体" w:hAnsi="宋体" w:eastAsia="宋体" w:cs="宋体"/>
          <w:bCs/>
          <w:color w:val="auto"/>
          <w:sz w:val="24"/>
          <w:szCs w:val="24"/>
          <w:highlight w:val="none"/>
          <w:lang w:val="en-US" w:eastAsia="zh-CN"/>
        </w:rPr>
        <w:t>分；</w:t>
      </w:r>
    </w:p>
    <w:p>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三档:保持紧密联系，在项目签约后在每期资料及时提供的情况下退税额或者补贴资金南宁市内项目25个工作日到内；南宁市外广西区内项目40个工作日款项到账或者减免申请成功；广西区外项目50个工作日款项到账或者减免申请成功</w:t>
      </w:r>
      <w:r>
        <w:rPr>
          <w:rFonts w:hint="eastAsia" w:ascii="宋体" w:hAnsi="宋体" w:eastAsia="宋体" w:cs="宋体"/>
          <w:bCs/>
          <w:color w:val="auto"/>
          <w:sz w:val="24"/>
          <w:szCs w:val="24"/>
          <w:highlight w:val="none"/>
          <w:lang w:val="en-US" w:eastAsia="zh-CN"/>
        </w:rPr>
        <w:t>，得</w:t>
      </w:r>
      <w:r>
        <w:rPr>
          <w:rFonts w:hint="eastAsia" w:hAnsi="宋体" w:cs="宋体"/>
          <w:bCs/>
          <w:color w:val="auto"/>
          <w:sz w:val="24"/>
          <w:szCs w:val="24"/>
          <w:highlight w:val="none"/>
          <w:lang w:val="en-US" w:eastAsia="zh-CN"/>
        </w:rPr>
        <w:t>0-7</w:t>
      </w:r>
      <w:r>
        <w:rPr>
          <w:rFonts w:hint="eastAsia" w:ascii="宋体" w:hAnsi="宋体" w:eastAsia="宋体" w:cs="宋体"/>
          <w:bCs/>
          <w:color w:val="auto"/>
          <w:sz w:val="24"/>
          <w:szCs w:val="24"/>
          <w:highlight w:val="none"/>
          <w:lang w:val="en-US" w:eastAsia="zh-CN"/>
        </w:rPr>
        <w:t>分。</w:t>
      </w:r>
    </w:p>
    <w:p>
      <w:pPr>
        <w:pStyle w:val="2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w:t>
      </w:r>
      <w:r>
        <w:rPr>
          <w:rFonts w:hint="eastAsia" w:hAnsi="宋体" w:cs="宋体"/>
          <w:b/>
          <w:bCs w:val="0"/>
          <w:color w:val="auto"/>
          <w:sz w:val="24"/>
          <w:szCs w:val="24"/>
          <w:highlight w:val="none"/>
          <w:lang w:val="en-US" w:eastAsia="zh-CN"/>
        </w:rPr>
        <w:t>3</w:t>
      </w:r>
      <w:r>
        <w:rPr>
          <w:rFonts w:hint="eastAsia" w:ascii="宋体" w:hAnsi="宋体" w:eastAsia="宋体" w:cs="宋体"/>
          <w:b/>
          <w:bCs w:val="0"/>
          <w:color w:val="auto"/>
          <w:sz w:val="24"/>
          <w:szCs w:val="24"/>
          <w:highlight w:val="none"/>
          <w:lang w:val="en-US" w:eastAsia="zh-CN"/>
        </w:rPr>
        <w:t>）售后服务承诺(满分1</w:t>
      </w:r>
      <w:r>
        <w:rPr>
          <w:rFonts w:hint="eastAsia" w:hAnsi="宋体" w:cs="宋体"/>
          <w:b/>
          <w:bCs w:val="0"/>
          <w:color w:val="auto"/>
          <w:sz w:val="24"/>
          <w:szCs w:val="24"/>
          <w:highlight w:val="none"/>
          <w:lang w:val="en-US" w:eastAsia="zh-CN"/>
        </w:rPr>
        <w:t>0</w:t>
      </w:r>
      <w:r>
        <w:rPr>
          <w:rFonts w:hint="eastAsia" w:ascii="宋体" w:hAnsi="宋体" w:eastAsia="宋体" w:cs="宋体"/>
          <w:b/>
          <w:bCs w:val="0"/>
          <w:color w:val="auto"/>
          <w:sz w:val="24"/>
          <w:szCs w:val="24"/>
          <w:highlight w:val="none"/>
          <w:lang w:val="en-US" w:eastAsia="zh-CN"/>
        </w:rPr>
        <w:t>分)</w:t>
      </w:r>
    </w:p>
    <w:p>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一档：项目结束后，能提交完整结果及报告，且项目班子领导能及时对企业进行电话以及邮件或调查表回访，调查对本次项目的满意度，并作为对本次项目质量评价的重要依据，得</w:t>
      </w:r>
      <w:r>
        <w:rPr>
          <w:rFonts w:hint="eastAsia" w:hAnsi="宋体" w:cs="宋体"/>
          <w:bCs/>
          <w:color w:val="auto"/>
          <w:sz w:val="24"/>
          <w:szCs w:val="24"/>
          <w:highlight w:val="none"/>
          <w:lang w:val="en-US" w:eastAsia="zh-CN"/>
        </w:rPr>
        <w:t>8-10</w:t>
      </w:r>
      <w:r>
        <w:rPr>
          <w:rFonts w:hint="eastAsia" w:ascii="宋体" w:hAnsi="宋体" w:eastAsia="宋体" w:cs="宋体"/>
          <w:bCs/>
          <w:color w:val="auto"/>
          <w:sz w:val="24"/>
          <w:szCs w:val="24"/>
          <w:highlight w:val="none"/>
          <w:lang w:val="en-US" w:eastAsia="zh-CN"/>
        </w:rPr>
        <w:t>分；</w:t>
      </w:r>
    </w:p>
    <w:p>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二档：项目结束后，能提交结果及报告，项目班子人员对相关企业进行电话、邮件或调查表回访，调查对项目的满意度，并作为对本次项目质量评价的依据，得</w:t>
      </w:r>
      <w:r>
        <w:rPr>
          <w:rFonts w:hint="eastAsia" w:hAnsi="宋体" w:cs="宋体"/>
          <w:bCs/>
          <w:color w:val="auto"/>
          <w:sz w:val="24"/>
          <w:szCs w:val="24"/>
          <w:highlight w:val="none"/>
          <w:lang w:val="en-US" w:eastAsia="zh-CN"/>
        </w:rPr>
        <w:t>4-7</w:t>
      </w:r>
      <w:r>
        <w:rPr>
          <w:rFonts w:hint="eastAsia" w:ascii="宋体" w:hAnsi="宋体" w:eastAsia="宋体" w:cs="宋体"/>
          <w:bCs/>
          <w:color w:val="auto"/>
          <w:sz w:val="24"/>
          <w:szCs w:val="24"/>
          <w:highlight w:val="none"/>
          <w:lang w:val="en-US" w:eastAsia="zh-CN"/>
        </w:rPr>
        <w:t>分；</w:t>
      </w:r>
    </w:p>
    <w:p>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三档：培训项目结束后，不能提交结果及报告，项目班子人员对相关人员进行电话、邮件或调查表回访，调查本项目的满意度，但不作为对本次项目质量评价的重要依据，或没有对我单位进行任何形式的回访，得</w:t>
      </w:r>
      <w:r>
        <w:rPr>
          <w:rFonts w:hint="eastAsia" w:hAnsi="宋体" w:cs="宋体"/>
          <w:bCs/>
          <w:color w:val="auto"/>
          <w:sz w:val="24"/>
          <w:szCs w:val="24"/>
          <w:highlight w:val="none"/>
          <w:lang w:val="en-US" w:eastAsia="zh-CN"/>
        </w:rPr>
        <w:t>0-3</w:t>
      </w:r>
      <w:r>
        <w:rPr>
          <w:rFonts w:hint="eastAsia" w:ascii="宋体" w:hAnsi="宋体" w:eastAsia="宋体" w:cs="宋体"/>
          <w:bCs/>
          <w:color w:val="auto"/>
          <w:sz w:val="24"/>
          <w:szCs w:val="24"/>
          <w:highlight w:val="none"/>
          <w:lang w:val="en-US" w:eastAsia="zh-CN"/>
        </w:rPr>
        <w:t>分。</w:t>
      </w:r>
    </w:p>
    <w:p>
      <w:pPr>
        <w:pStyle w:val="2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w:t>
      </w:r>
      <w:r>
        <w:rPr>
          <w:rFonts w:hint="eastAsia" w:hAnsi="宋体" w:cs="宋体"/>
          <w:b/>
          <w:bCs w:val="0"/>
          <w:color w:val="auto"/>
          <w:sz w:val="24"/>
          <w:szCs w:val="24"/>
          <w:highlight w:val="none"/>
          <w:lang w:val="en-US" w:eastAsia="zh-CN"/>
        </w:rPr>
        <w:t>商务</w:t>
      </w:r>
      <w:r>
        <w:rPr>
          <w:rFonts w:hint="eastAsia" w:ascii="宋体" w:hAnsi="宋体" w:eastAsia="宋体" w:cs="宋体"/>
          <w:b/>
          <w:bCs w:val="0"/>
          <w:color w:val="auto"/>
          <w:sz w:val="24"/>
          <w:szCs w:val="24"/>
          <w:highlight w:val="none"/>
          <w:lang w:val="en-US" w:eastAsia="zh-CN"/>
        </w:rPr>
        <w:t>分……………………………………………………………………</w:t>
      </w:r>
      <w:r>
        <w:rPr>
          <w:rFonts w:hint="eastAsia" w:hAnsi="宋体" w:cs="宋体"/>
          <w:b/>
          <w:bCs w:val="0"/>
          <w:color w:val="auto"/>
          <w:sz w:val="24"/>
          <w:szCs w:val="24"/>
          <w:highlight w:val="none"/>
          <w:lang w:val="en-US" w:eastAsia="zh-CN"/>
        </w:rPr>
        <w:t>20</w:t>
      </w:r>
      <w:r>
        <w:rPr>
          <w:rFonts w:hint="eastAsia" w:ascii="宋体" w:hAnsi="宋体" w:eastAsia="宋体" w:cs="宋体"/>
          <w:b/>
          <w:bCs w:val="0"/>
          <w:color w:val="auto"/>
          <w:sz w:val="24"/>
          <w:szCs w:val="24"/>
          <w:highlight w:val="none"/>
          <w:lang w:val="en-US" w:eastAsia="zh-CN"/>
        </w:rPr>
        <w:t>分</w:t>
      </w:r>
    </w:p>
    <w:p>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hAnsi="宋体" w:cs="宋体"/>
          <w:bCs/>
          <w:color w:val="auto"/>
          <w:sz w:val="24"/>
          <w:szCs w:val="24"/>
          <w:highlight w:val="none"/>
          <w:lang w:val="en-US" w:eastAsia="zh-CN"/>
        </w:rPr>
      </w:pPr>
      <w:r>
        <w:rPr>
          <w:rFonts w:hint="eastAsia" w:hAnsi="宋体" w:cs="宋体"/>
          <w:bCs/>
          <w:color w:val="auto"/>
          <w:sz w:val="24"/>
          <w:szCs w:val="24"/>
          <w:highlight w:val="none"/>
          <w:lang w:val="en-US" w:eastAsia="zh-CN"/>
        </w:rPr>
        <w:t>（1）信誉分（满分5分）</w:t>
      </w:r>
    </w:p>
    <w:p>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hAnsi="宋体" w:cs="宋体"/>
          <w:bCs/>
          <w:color w:val="auto"/>
          <w:sz w:val="24"/>
          <w:szCs w:val="24"/>
          <w:highlight w:val="none"/>
          <w:lang w:val="en-US" w:eastAsia="zh-CN"/>
        </w:rPr>
      </w:pPr>
      <w:r>
        <w:rPr>
          <w:rFonts w:hint="eastAsia" w:hAnsi="宋体" w:cs="宋体"/>
          <w:bCs/>
          <w:color w:val="auto"/>
          <w:sz w:val="24"/>
          <w:szCs w:val="24"/>
          <w:highlight w:val="none"/>
          <w:lang w:val="en-US" w:eastAsia="zh-CN"/>
        </w:rPr>
        <w:t>供应商获得人社部门颁发的人力资源诚信服务示范机构证书的，国家级得5分，省级得4分，市级得3分，满分5分。（同类证书按级别最高的计分，需提供相关证明复印件并加盖供应商公章）.</w:t>
      </w:r>
    </w:p>
    <w:p>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w:t>
      </w:r>
      <w:r>
        <w:rPr>
          <w:rFonts w:hint="eastAsia"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）业绩</w:t>
      </w:r>
      <w:r>
        <w:rPr>
          <w:rFonts w:hint="eastAsia" w:hAnsi="宋体" w:cs="宋体"/>
          <w:bCs/>
          <w:color w:val="auto"/>
          <w:sz w:val="24"/>
          <w:szCs w:val="24"/>
          <w:highlight w:val="none"/>
          <w:lang w:val="en-US" w:eastAsia="zh-CN"/>
        </w:rPr>
        <w:t>分（满分15分）</w:t>
      </w:r>
    </w:p>
    <w:p>
      <w:pPr>
        <w:pStyle w:val="5"/>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近一年内每开展过政府类补贴项目并成功获得补贴得3分，满分15分。（以投标文件中的提供合同复印件或中标通知书复印件为证，原件备查）</w:t>
      </w:r>
    </w:p>
    <w:p>
      <w:pPr>
        <w:pStyle w:val="2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val="0"/>
          <w:color w:val="auto"/>
          <w:sz w:val="24"/>
          <w:szCs w:val="24"/>
          <w:highlight w:val="none"/>
          <w:lang w:val="en-US" w:eastAsia="zh-CN"/>
        </w:rPr>
      </w:pPr>
      <w:bookmarkStart w:id="51" w:name="_Toc3256"/>
      <w:r>
        <w:rPr>
          <w:rFonts w:hint="eastAsia" w:ascii="宋体" w:hAnsi="宋体" w:eastAsia="宋体" w:cs="宋体"/>
          <w:b/>
          <w:bCs w:val="0"/>
          <w:color w:val="auto"/>
          <w:sz w:val="24"/>
          <w:szCs w:val="24"/>
          <w:highlight w:val="none"/>
          <w:lang w:val="en-US" w:eastAsia="zh-CN"/>
        </w:rPr>
        <w:t>（三）总得分=1 + 2 + 3</w:t>
      </w:r>
      <w:bookmarkEnd w:id="51"/>
      <w:r>
        <w:rPr>
          <w:rFonts w:hint="eastAsia" w:ascii="宋体" w:hAnsi="宋体" w:eastAsia="宋体" w:cs="宋体"/>
          <w:b/>
          <w:bCs w:val="0"/>
          <w:color w:val="auto"/>
          <w:sz w:val="24"/>
          <w:szCs w:val="24"/>
          <w:highlight w:val="none"/>
          <w:lang w:val="en-US" w:eastAsia="zh-CN"/>
        </w:rPr>
        <w:t xml:space="preserve"> </w:t>
      </w:r>
    </w:p>
    <w:p>
      <w:pPr>
        <w:pStyle w:val="2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三、成交候选人推荐原则</w:t>
      </w:r>
    </w:p>
    <w:p>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（一）磋商小组将根据得分由高到低排列次序（得分相同时，以最终报价由低到高顺序排列；得分相同且</w:t>
      </w:r>
      <w:r>
        <w:rPr>
          <w:rFonts w:hint="eastAsia" w:hAnsi="宋体" w:cs="宋体"/>
          <w:color w:val="auto"/>
          <w:sz w:val="24"/>
          <w:szCs w:val="24"/>
          <w:highlight w:val="none"/>
          <w:u w:val="single"/>
          <w:lang w:eastAsia="zh-CN"/>
        </w:rPr>
        <w:t>最终</w:t>
      </w:r>
      <w:r>
        <w:rPr>
          <w:rFonts w:hint="eastAsia" w:ascii="宋体" w:hAnsi="宋体" w:eastAsia="宋体" w:cs="宋体"/>
          <w:color w:val="auto"/>
          <w:sz w:val="24"/>
          <w:szCs w:val="24"/>
          <w:highlight w:val="none"/>
          <w:u w:val="single"/>
        </w:rPr>
        <w:t>磋商</w:t>
      </w:r>
      <w:r>
        <w:rPr>
          <w:rFonts w:hint="eastAsia" w:ascii="宋体" w:hAnsi="宋体" w:eastAsia="宋体" w:cs="宋体"/>
          <w:bCs/>
          <w:color w:val="auto"/>
          <w:sz w:val="24"/>
          <w:szCs w:val="24"/>
          <w:highlight w:val="none"/>
        </w:rPr>
        <w:t>报价相同的，依次按技术服务能力分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业绩和信誉分</w:t>
      </w:r>
      <w:r>
        <w:rPr>
          <w:rFonts w:hint="eastAsia" w:ascii="宋体" w:hAnsi="宋体" w:eastAsia="宋体" w:cs="宋体"/>
          <w:bCs/>
          <w:color w:val="auto"/>
          <w:sz w:val="24"/>
          <w:szCs w:val="24"/>
          <w:highlight w:val="none"/>
        </w:rPr>
        <w:t>由高到低</w:t>
      </w:r>
      <w:r>
        <w:rPr>
          <w:rFonts w:hint="eastAsia" w:ascii="宋体" w:hAnsi="宋体" w:eastAsia="宋体" w:cs="宋体"/>
          <w:bCs/>
          <w:color w:val="auto"/>
          <w:sz w:val="24"/>
          <w:szCs w:val="24"/>
          <w:highlight w:val="none"/>
          <w:lang w:eastAsia="zh-CN"/>
        </w:rPr>
        <w:t>排列，如分数</w:t>
      </w:r>
      <w:r>
        <w:rPr>
          <w:rFonts w:hint="eastAsia" w:hAnsi="宋体" w:cs="宋体"/>
          <w:bCs/>
          <w:color w:val="auto"/>
          <w:sz w:val="24"/>
          <w:szCs w:val="24"/>
          <w:highlight w:val="none"/>
          <w:lang w:eastAsia="zh-CN"/>
        </w:rPr>
        <w:t>再次出现</w:t>
      </w:r>
      <w:r>
        <w:rPr>
          <w:rFonts w:hint="eastAsia" w:ascii="宋体" w:hAnsi="宋体" w:eastAsia="宋体" w:cs="宋体"/>
          <w:bCs/>
          <w:color w:val="auto"/>
          <w:sz w:val="24"/>
          <w:szCs w:val="24"/>
          <w:highlight w:val="none"/>
          <w:lang w:eastAsia="zh-CN"/>
        </w:rPr>
        <w:t>相同</w:t>
      </w:r>
      <w:r>
        <w:rPr>
          <w:rFonts w:hint="eastAsia" w:hAnsi="宋体" w:cs="宋体"/>
          <w:bCs/>
          <w:color w:val="auto"/>
          <w:sz w:val="24"/>
          <w:szCs w:val="24"/>
          <w:highlight w:val="none"/>
          <w:lang w:eastAsia="zh-CN"/>
        </w:rPr>
        <w:t>的</w:t>
      </w:r>
      <w:r>
        <w:rPr>
          <w:rFonts w:hint="eastAsia" w:ascii="宋体" w:hAnsi="宋体" w:eastAsia="宋体" w:cs="宋体"/>
          <w:bCs/>
          <w:color w:val="auto"/>
          <w:sz w:val="24"/>
          <w:szCs w:val="24"/>
          <w:highlight w:val="none"/>
          <w:lang w:eastAsia="zh-CN"/>
        </w:rPr>
        <w:t>，再依次按</w:t>
      </w:r>
      <w:r>
        <w:rPr>
          <w:rFonts w:hint="eastAsia" w:ascii="宋体" w:hAnsi="宋体" w:eastAsia="宋体" w:cs="宋体"/>
          <w:bCs/>
          <w:color w:val="auto"/>
          <w:sz w:val="24"/>
          <w:szCs w:val="24"/>
          <w:highlight w:val="none"/>
          <w:lang w:val="en-US" w:eastAsia="zh-CN"/>
        </w:rPr>
        <w:t>服务项目实施方案、拟投入管理与服务人员素质能力、售后服务承诺分排列</w:t>
      </w:r>
      <w:r>
        <w:rPr>
          <w:rFonts w:hint="eastAsia" w:ascii="宋体" w:hAnsi="宋体" w:eastAsia="宋体" w:cs="宋体"/>
          <w:bCs/>
          <w:color w:val="auto"/>
          <w:sz w:val="24"/>
          <w:szCs w:val="24"/>
          <w:highlight w:val="none"/>
        </w:rPr>
        <w:t>，并推荐成交候选人3名。得分最高的成交候选人为成交供应商。采购人应当确定磋商小组推荐排名第一的成交候选人为成交供应商。</w:t>
      </w:r>
    </w:p>
    <w:p>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Cs/>
          <w:color w:val="auto"/>
          <w:sz w:val="24"/>
          <w:szCs w:val="24"/>
          <w:highlight w:val="none"/>
        </w:rPr>
        <w:t>除非有法定事由，如排名第一的成交候选人放弃成交、因不可抗力不能履行合同、不按照磋商文件要求提交</w:t>
      </w:r>
      <w:r>
        <w:rPr>
          <w:rFonts w:hint="eastAsia" w:ascii="宋体" w:hAnsi="宋体" w:eastAsia="宋体" w:cs="宋体"/>
          <w:bCs/>
          <w:color w:val="auto"/>
          <w:sz w:val="24"/>
          <w:szCs w:val="24"/>
          <w:highlight w:val="none"/>
          <w:lang w:val="en-US" w:eastAsia="zh-CN"/>
        </w:rPr>
        <w:t>材料的</w:t>
      </w:r>
      <w:r>
        <w:rPr>
          <w:rFonts w:hint="eastAsia" w:ascii="宋体" w:hAnsi="宋体" w:eastAsia="宋体" w:cs="宋体"/>
          <w:bCs/>
          <w:color w:val="auto"/>
          <w:sz w:val="24"/>
          <w:szCs w:val="24"/>
          <w:highlight w:val="none"/>
        </w:rPr>
        <w:t>，或者被查实存在影响成交结果的违法行为等情形，不符合成交条件的。该等情况下，采购人可以按照磋商小组提出的成交候选人名单排序依法确定其他成交候选人为成交供应商，也可以重新组织采购。</w:t>
      </w:r>
    </w:p>
    <w:p>
      <w:pPr>
        <w:pStyle w:val="2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四、特别说明</w:t>
      </w:r>
    </w:p>
    <w:p>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（一）</w:t>
      </w:r>
      <w:r>
        <w:rPr>
          <w:rFonts w:hint="eastAsia" w:ascii="宋体" w:hAnsi="宋体" w:eastAsia="宋体" w:cs="宋体"/>
          <w:bCs/>
          <w:color w:val="auto"/>
          <w:sz w:val="24"/>
          <w:szCs w:val="24"/>
          <w:highlight w:val="none"/>
        </w:rPr>
        <w:t>磋商小组认为供应商的竞标报价明显低于其他通过符合性审查供应商的竞标报价，有可能影响产品（或服务）质量或者不能诚信履约的，应当要求其在</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现场合理的时间内提供书面说明，必要时提交相关证明材料；供应商不能证明其竞标报价合理性的，磋商小组应当将其作为无效磋商处理。</w:t>
      </w:r>
    </w:p>
    <w:p>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（二）以上评审内容需要提供材料的，除必要的原件核对外，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如能够在线查询的材料，请提供查询网址链接，可以不用同时提供纸质材料。</w:t>
      </w:r>
    </w:p>
    <w:p>
      <w:pPr>
        <w:pStyle w:val="173"/>
        <w:spacing w:line="500" w:lineRule="exact"/>
        <w:ind w:left="0" w:leftChars="0" w:firstLine="0" w:firstLineChars="0"/>
        <w:rPr>
          <w:rFonts w:hint="eastAsia" w:ascii="仿宋" w:hAnsi="仿宋" w:eastAsia="仿宋" w:cs="仿宋"/>
          <w:b/>
          <w:bCs/>
          <w:color w:val="auto"/>
          <w:sz w:val="24"/>
          <w:szCs w:val="24"/>
          <w:highlight w:val="none"/>
        </w:rPr>
      </w:pPr>
      <w:r>
        <w:rPr>
          <w:rFonts w:hint="eastAsia"/>
          <w:color w:val="auto"/>
          <w:highlight w:val="none"/>
        </w:rPr>
        <w:br w:type="page"/>
      </w:r>
    </w:p>
    <w:p>
      <w:pPr>
        <w:pStyle w:val="3"/>
        <w:keepNext/>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highlight w:val="none"/>
        </w:rPr>
      </w:pPr>
      <w:bookmarkStart w:id="52" w:name="_Toc11417"/>
      <w:bookmarkStart w:id="53" w:name="_Toc22431"/>
      <w:bookmarkStart w:id="54" w:name="_Toc16890"/>
      <w:r>
        <w:rPr>
          <w:rFonts w:hint="eastAsia"/>
          <w:color w:val="auto"/>
          <w:highlight w:val="none"/>
        </w:rPr>
        <w:t>第</w:t>
      </w:r>
      <w:r>
        <w:rPr>
          <w:rFonts w:hint="eastAsia"/>
          <w:color w:val="auto"/>
          <w:highlight w:val="none"/>
          <w:lang w:val="en-US" w:eastAsia="zh-CN"/>
        </w:rPr>
        <w:t>四</w:t>
      </w:r>
      <w:r>
        <w:rPr>
          <w:rFonts w:hint="eastAsia"/>
          <w:color w:val="auto"/>
          <w:highlight w:val="none"/>
        </w:rPr>
        <w:t xml:space="preserve">章 </w:t>
      </w:r>
      <w:r>
        <w:rPr>
          <w:rFonts w:hint="eastAsia"/>
          <w:color w:val="auto"/>
          <w:highlight w:val="none"/>
          <w:lang w:eastAsia="zh-CN"/>
        </w:rPr>
        <w:t>响应文件</w:t>
      </w:r>
      <w:r>
        <w:rPr>
          <w:rFonts w:hint="eastAsia"/>
          <w:color w:val="auto"/>
          <w:highlight w:val="none"/>
        </w:rPr>
        <w:t>格式</w:t>
      </w:r>
      <w:bookmarkEnd w:id="52"/>
      <w:bookmarkEnd w:id="53"/>
      <w:bookmarkEnd w:id="54"/>
    </w:p>
    <w:p>
      <w:pPr>
        <w:bidi w:val="0"/>
        <w:rPr>
          <w:rFonts w:hint="eastAsia"/>
          <w:color w:val="auto"/>
          <w:highlight w:val="none"/>
        </w:rPr>
      </w:pPr>
      <w:bookmarkStart w:id="55" w:name="_Toc31396"/>
      <w:bookmarkStart w:id="56" w:name="_Toc293863061"/>
      <w:bookmarkStart w:id="57" w:name="_Toc326217565"/>
      <w:bookmarkStart w:id="58" w:name="_Toc301424939"/>
      <w:bookmarkStart w:id="59" w:name="_Toc293863331"/>
      <w:r>
        <w:rPr>
          <w:rFonts w:hint="eastAsia"/>
          <w:color w:val="auto"/>
          <w:highlight w:val="none"/>
        </w:rPr>
        <w:t>一、</w:t>
      </w:r>
      <w:r>
        <w:rPr>
          <w:rFonts w:hint="eastAsia"/>
          <w:color w:val="auto"/>
          <w:highlight w:val="none"/>
          <w:lang w:eastAsia="zh-CN"/>
        </w:rPr>
        <w:t>响应文件</w:t>
      </w:r>
      <w:r>
        <w:rPr>
          <w:rFonts w:hint="eastAsia"/>
          <w:color w:val="auto"/>
          <w:highlight w:val="none"/>
        </w:rPr>
        <w:t>外层包装封面及</w:t>
      </w:r>
      <w:r>
        <w:rPr>
          <w:rFonts w:hint="eastAsia"/>
          <w:color w:val="auto"/>
          <w:highlight w:val="none"/>
          <w:lang w:eastAsia="zh-CN"/>
        </w:rPr>
        <w:t>响应文件</w:t>
      </w:r>
      <w:r>
        <w:rPr>
          <w:rFonts w:hint="eastAsia"/>
          <w:color w:val="auto"/>
          <w:highlight w:val="none"/>
        </w:rPr>
        <w:t>外封面格式</w:t>
      </w:r>
      <w:bookmarkEnd w:id="55"/>
      <w:bookmarkEnd w:id="56"/>
      <w:bookmarkEnd w:id="57"/>
      <w:bookmarkEnd w:id="58"/>
      <w:bookmarkEnd w:id="59"/>
    </w:p>
    <w:p>
      <w:pPr>
        <w:bidi w:val="0"/>
        <w:rPr>
          <w:rFonts w:hint="eastAsia"/>
          <w:color w:val="auto"/>
          <w:highlight w:val="none"/>
        </w:rPr>
      </w:pPr>
      <w:bookmarkStart w:id="60" w:name="_Toc3528"/>
      <w:bookmarkStart w:id="61" w:name="_Toc293863332"/>
      <w:bookmarkStart w:id="62" w:name="_Toc293863062"/>
      <w:bookmarkStart w:id="63" w:name="_Toc301424940"/>
      <w:bookmarkStart w:id="64" w:name="_Toc326217566"/>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所有</w:t>
      </w:r>
      <w:r>
        <w:rPr>
          <w:rFonts w:hint="eastAsia"/>
          <w:color w:val="auto"/>
          <w:highlight w:val="none"/>
          <w:lang w:eastAsia="zh-CN"/>
        </w:rPr>
        <w:t>响应文件</w:t>
      </w:r>
      <w:r>
        <w:rPr>
          <w:rFonts w:hint="eastAsia"/>
          <w:color w:val="auto"/>
          <w:highlight w:val="none"/>
        </w:rPr>
        <w:t>的外包装封面格式：</w:t>
      </w:r>
      <w:bookmarkEnd w:id="60"/>
      <w:bookmarkEnd w:id="61"/>
      <w:bookmarkEnd w:id="62"/>
      <w:bookmarkEnd w:id="63"/>
      <w:bookmarkEnd w:id="64"/>
    </w:p>
    <w:p>
      <w:pPr>
        <w:snapToGrid w:val="0"/>
        <w:spacing w:before="120" w:beforeLines="50" w:after="50"/>
        <w:rPr>
          <w:rFonts w:hint="eastAsia" w:ascii="仿宋" w:hAnsi="仿宋" w:eastAsia="仿宋"/>
          <w:color w:val="auto"/>
          <w:sz w:val="24"/>
          <w:szCs w:val="20"/>
          <w:highlight w:val="none"/>
        </w:rPr>
      </w:pPr>
    </w:p>
    <w:p>
      <w:pPr>
        <w:snapToGrid w:val="0"/>
        <w:spacing w:before="120" w:beforeLines="50" w:after="50"/>
        <w:jc w:val="center"/>
        <w:rPr>
          <w:rFonts w:hint="eastAsia" w:ascii="仿宋" w:hAnsi="仿宋" w:eastAsia="仿宋"/>
          <w:bCs/>
          <w:color w:val="auto"/>
          <w:sz w:val="24"/>
          <w:szCs w:val="20"/>
          <w:highlight w:val="none"/>
        </w:rPr>
      </w:pPr>
    </w:p>
    <w:p>
      <w:pPr>
        <w:snapToGrid w:val="0"/>
        <w:spacing w:before="120" w:beforeLines="50" w:after="50"/>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lang w:val="en-US" w:eastAsia="zh-CN"/>
        </w:rPr>
        <w:t>响</w:t>
      </w:r>
      <w:r>
        <w:rPr>
          <w:rFonts w:hint="eastAsia" w:ascii="宋体" w:hAnsi="宋体" w:eastAsia="宋体" w:cs="宋体"/>
          <w:b/>
          <w:bCs/>
          <w:color w:val="auto"/>
          <w:sz w:val="52"/>
          <w:szCs w:val="52"/>
          <w:highlight w:val="none"/>
        </w:rPr>
        <w:t xml:space="preserve"> </w:t>
      </w:r>
      <w:r>
        <w:rPr>
          <w:rFonts w:hint="eastAsia" w:ascii="宋体" w:hAnsi="宋体" w:eastAsia="宋体" w:cs="宋体"/>
          <w:b/>
          <w:bCs/>
          <w:color w:val="auto"/>
          <w:sz w:val="52"/>
          <w:szCs w:val="52"/>
          <w:highlight w:val="none"/>
          <w:lang w:val="en-US" w:eastAsia="zh-CN"/>
        </w:rPr>
        <w:t>应</w:t>
      </w:r>
      <w:r>
        <w:rPr>
          <w:rFonts w:hint="eastAsia" w:ascii="宋体" w:hAnsi="宋体" w:eastAsia="宋体" w:cs="宋体"/>
          <w:b/>
          <w:bCs/>
          <w:color w:val="auto"/>
          <w:sz w:val="52"/>
          <w:szCs w:val="52"/>
          <w:highlight w:val="none"/>
        </w:rPr>
        <w:t xml:space="preserve"> 文 件</w:t>
      </w:r>
    </w:p>
    <w:p>
      <w:pPr>
        <w:snapToGrid w:val="0"/>
        <w:spacing w:before="120" w:beforeLines="50" w:after="50"/>
        <w:rPr>
          <w:rFonts w:hint="eastAsia" w:ascii="仿宋" w:hAnsi="仿宋" w:eastAsia="仿宋"/>
          <w:bCs/>
          <w:color w:val="auto"/>
          <w:sz w:val="24"/>
          <w:szCs w:val="20"/>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广西国际博览集团有限公司2019－2023年度重点群体退抵税补贴项目服务采购项目</w:t>
      </w:r>
    </w:p>
    <w:p>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p>
    <w:p>
      <w:pPr>
        <w:bidi w:val="0"/>
        <w:rPr>
          <w:rFonts w:hint="eastAsia" w:ascii="宋体" w:hAnsi="宋体" w:eastAsia="宋体" w:cs="宋体"/>
          <w:color w:val="auto"/>
          <w:sz w:val="24"/>
          <w:szCs w:val="24"/>
          <w:highlight w:val="none"/>
        </w:rPr>
      </w:pPr>
    </w:p>
    <w:p>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地址：</w:t>
      </w:r>
    </w:p>
    <w:p>
      <w:pPr>
        <w:bidi w:val="0"/>
        <w:rPr>
          <w:rFonts w:hint="eastAsia" w:ascii="宋体" w:hAnsi="宋体" w:eastAsia="宋体" w:cs="宋体"/>
          <w:color w:val="auto"/>
          <w:sz w:val="24"/>
          <w:szCs w:val="24"/>
          <w:highlight w:val="none"/>
        </w:rPr>
      </w:pPr>
    </w:p>
    <w:p>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  年  月  日  时   分前不得启封（开标时才能启封）</w:t>
      </w:r>
    </w:p>
    <w:p>
      <w:pPr>
        <w:snapToGrid w:val="0"/>
        <w:spacing w:before="120" w:beforeLines="50" w:after="50"/>
        <w:ind w:firstLine="645"/>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p>
    <w:p>
      <w:pPr>
        <w:snapToGrid w:val="0"/>
        <w:spacing w:before="120" w:beforeLines="50" w:after="50"/>
        <w:ind w:firstLine="645"/>
        <w:jc w:val="center"/>
        <w:rPr>
          <w:rFonts w:hint="eastAsia" w:ascii="宋体" w:hAnsi="宋体" w:eastAsia="宋体" w:cs="宋体"/>
          <w:bCs/>
          <w:color w:val="auto"/>
          <w:sz w:val="24"/>
          <w:szCs w:val="24"/>
          <w:highlight w:val="none"/>
        </w:rPr>
      </w:pPr>
    </w:p>
    <w:p>
      <w:pPr>
        <w:bidi w:val="0"/>
        <w:ind w:firstLine="150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snapToGrid w:val="0"/>
        <w:spacing w:before="120" w:beforeLines="50" w:after="50"/>
        <w:ind w:firstLine="645"/>
        <w:rPr>
          <w:rFonts w:hint="eastAsia" w:ascii="仿宋" w:hAnsi="仿宋" w:eastAsia="仿宋"/>
          <w:bCs/>
          <w:color w:val="auto"/>
          <w:sz w:val="24"/>
          <w:highlight w:val="none"/>
        </w:rPr>
      </w:pPr>
    </w:p>
    <w:p>
      <w:pPr>
        <w:bidi w:val="0"/>
        <w:rPr>
          <w:rFonts w:hint="eastAsia"/>
          <w:color w:val="auto"/>
          <w:highlight w:val="none"/>
        </w:rPr>
      </w:pPr>
      <w:r>
        <w:rPr>
          <w:rFonts w:hint="eastAsia"/>
          <w:color w:val="auto"/>
          <w:highlight w:val="none"/>
        </w:rPr>
        <w:br w:type="page"/>
      </w:r>
    </w:p>
    <w:p>
      <w:pPr>
        <w:bidi w:val="0"/>
        <w:ind w:left="0" w:leftChars="0" w:firstLine="0" w:firstLineChars="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响应文件外封面格式</w:t>
      </w:r>
    </w:p>
    <w:p>
      <w:pPr>
        <w:bidi w:val="0"/>
        <w:jc w:val="right"/>
        <w:rPr>
          <w:rFonts w:hint="eastAsia"/>
          <w:color w:val="auto"/>
          <w:highlight w:val="none"/>
        </w:rPr>
      </w:pPr>
      <w:r>
        <w:rPr>
          <w:rFonts w:hint="eastAsia"/>
          <w:color w:val="auto"/>
          <w:highlight w:val="none"/>
        </w:rPr>
        <w:t>正本/或副本</w:t>
      </w:r>
    </w:p>
    <w:p>
      <w:pPr>
        <w:snapToGrid w:val="0"/>
        <w:spacing w:before="120" w:beforeLines="50" w:after="50"/>
        <w:rPr>
          <w:rFonts w:hint="eastAsia" w:ascii="仿宋" w:hAnsi="仿宋" w:eastAsia="仿宋"/>
          <w:color w:val="auto"/>
          <w:sz w:val="24"/>
          <w:szCs w:val="20"/>
          <w:highlight w:val="none"/>
        </w:rPr>
      </w:pPr>
    </w:p>
    <w:p>
      <w:pPr>
        <w:snapToGrid w:val="0"/>
        <w:spacing w:before="120" w:beforeLines="50" w:after="50"/>
        <w:jc w:val="center"/>
        <w:rPr>
          <w:rFonts w:hint="eastAsia" w:ascii="仿宋" w:hAnsi="仿宋" w:eastAsia="仿宋"/>
          <w:bCs/>
          <w:color w:val="auto"/>
          <w:sz w:val="24"/>
          <w:szCs w:val="20"/>
          <w:highlight w:val="none"/>
        </w:rPr>
      </w:pPr>
    </w:p>
    <w:p>
      <w:pPr>
        <w:snapToGrid w:val="0"/>
        <w:spacing w:before="120" w:beforeLines="50" w:after="50"/>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lang w:val="en-US" w:eastAsia="zh-CN"/>
        </w:rPr>
        <w:t>响</w:t>
      </w:r>
      <w:r>
        <w:rPr>
          <w:rFonts w:hint="eastAsia" w:ascii="宋体" w:hAnsi="宋体" w:eastAsia="宋体" w:cs="宋体"/>
          <w:b/>
          <w:bCs/>
          <w:color w:val="auto"/>
          <w:sz w:val="52"/>
          <w:szCs w:val="52"/>
          <w:highlight w:val="none"/>
        </w:rPr>
        <w:t xml:space="preserve"> </w:t>
      </w:r>
      <w:r>
        <w:rPr>
          <w:rFonts w:hint="eastAsia" w:ascii="宋体" w:hAnsi="宋体" w:eastAsia="宋体" w:cs="宋体"/>
          <w:b/>
          <w:bCs/>
          <w:color w:val="auto"/>
          <w:sz w:val="52"/>
          <w:szCs w:val="52"/>
          <w:highlight w:val="none"/>
          <w:lang w:val="en-US" w:eastAsia="zh-CN"/>
        </w:rPr>
        <w:t>应</w:t>
      </w:r>
      <w:r>
        <w:rPr>
          <w:rFonts w:hint="eastAsia" w:ascii="宋体" w:hAnsi="宋体" w:eastAsia="宋体" w:cs="宋体"/>
          <w:b/>
          <w:bCs/>
          <w:color w:val="auto"/>
          <w:sz w:val="52"/>
          <w:szCs w:val="52"/>
          <w:highlight w:val="none"/>
        </w:rPr>
        <w:t xml:space="preserve"> 文 件</w:t>
      </w:r>
    </w:p>
    <w:p>
      <w:pPr>
        <w:snapToGrid w:val="0"/>
        <w:spacing w:before="120" w:beforeLines="50" w:after="50"/>
        <w:rPr>
          <w:rFonts w:hint="eastAsia" w:ascii="仿宋" w:hAnsi="仿宋" w:eastAsia="仿宋"/>
          <w:bCs/>
          <w:color w:val="auto"/>
          <w:sz w:val="24"/>
          <w:szCs w:val="20"/>
          <w:highlight w:val="none"/>
        </w:rPr>
      </w:pPr>
    </w:p>
    <w:p>
      <w:pPr>
        <w:bidi w:val="0"/>
        <w:ind w:left="0" w:leftChars="0" w:firstLine="0" w:firstLineChars="0"/>
        <w:rPr>
          <w:rFonts w:hint="eastAsia"/>
          <w:color w:val="auto"/>
          <w:highlight w:val="none"/>
        </w:rPr>
      </w:pPr>
      <w:r>
        <w:rPr>
          <w:rFonts w:hint="eastAsia"/>
          <w:color w:val="auto"/>
          <w:highlight w:val="none"/>
        </w:rPr>
        <w:t>项目名称：</w:t>
      </w:r>
      <w:r>
        <w:rPr>
          <w:rFonts w:hint="eastAsia"/>
          <w:color w:val="auto"/>
          <w:highlight w:val="none"/>
          <w:lang w:val="en-US" w:eastAsia="zh-CN"/>
        </w:rPr>
        <w:t>广西国际博览集团有限公司2019－2023年度重点群体退抵税补贴项目服务采购项目</w:t>
      </w:r>
    </w:p>
    <w:p>
      <w:pPr>
        <w:bidi w:val="0"/>
        <w:rPr>
          <w:rFonts w:hint="eastAsia"/>
          <w:color w:val="auto"/>
          <w:highlight w:val="none"/>
        </w:rPr>
      </w:pPr>
    </w:p>
    <w:p>
      <w:pPr>
        <w:bidi w:val="0"/>
        <w:ind w:left="0" w:leftChars="0" w:firstLine="0" w:firstLineChars="0"/>
        <w:rPr>
          <w:rFonts w:hint="eastAsia"/>
          <w:color w:val="auto"/>
          <w:highlight w:val="none"/>
        </w:rPr>
      </w:pPr>
      <w:r>
        <w:rPr>
          <w:rFonts w:hint="eastAsia"/>
          <w:color w:val="auto"/>
          <w:highlight w:val="none"/>
          <w:lang w:eastAsia="zh-CN"/>
        </w:rPr>
        <w:t>供应商</w:t>
      </w:r>
      <w:r>
        <w:rPr>
          <w:rFonts w:hint="eastAsia"/>
          <w:color w:val="auto"/>
          <w:highlight w:val="none"/>
        </w:rPr>
        <w:t>名称：</w:t>
      </w:r>
    </w:p>
    <w:p>
      <w:pPr>
        <w:bidi w:val="0"/>
        <w:rPr>
          <w:rFonts w:hint="eastAsia"/>
          <w:color w:val="auto"/>
          <w:highlight w:val="none"/>
        </w:rPr>
      </w:pPr>
    </w:p>
    <w:p>
      <w:pPr>
        <w:bidi w:val="0"/>
        <w:ind w:left="0" w:leftChars="0" w:firstLine="0" w:firstLineChars="0"/>
        <w:rPr>
          <w:rFonts w:hint="eastAsia"/>
          <w:color w:val="auto"/>
          <w:highlight w:val="none"/>
        </w:rPr>
      </w:pPr>
      <w:r>
        <w:rPr>
          <w:rFonts w:hint="eastAsia"/>
          <w:color w:val="auto"/>
          <w:highlight w:val="none"/>
        </w:rPr>
        <w:t>法定代表人或委托代理人签字：</w:t>
      </w:r>
    </w:p>
    <w:p>
      <w:pPr>
        <w:pStyle w:val="7"/>
        <w:snapToGrid w:val="0"/>
        <w:spacing w:before="50" w:after="50"/>
        <w:ind w:firstLine="960" w:firstLineChars="400"/>
        <w:rPr>
          <w:rFonts w:hint="eastAsia" w:ascii="仿宋" w:hAnsi="仿宋" w:eastAsia="仿宋"/>
          <w:bCs/>
          <w:color w:val="auto"/>
          <w:sz w:val="24"/>
          <w:szCs w:val="24"/>
          <w:highlight w:val="none"/>
        </w:rPr>
      </w:pPr>
    </w:p>
    <w:p>
      <w:pPr>
        <w:pStyle w:val="7"/>
        <w:snapToGrid w:val="0"/>
        <w:spacing w:before="50" w:after="50"/>
        <w:ind w:firstLine="960" w:firstLineChars="400"/>
        <w:rPr>
          <w:rFonts w:hint="eastAsia" w:ascii="仿宋" w:hAnsi="仿宋" w:eastAsia="仿宋"/>
          <w:bCs/>
          <w:color w:val="auto"/>
          <w:sz w:val="24"/>
          <w:szCs w:val="24"/>
          <w:highlight w:val="none"/>
        </w:rPr>
      </w:pPr>
    </w:p>
    <w:p>
      <w:pPr>
        <w:bidi w:val="0"/>
        <w:ind w:firstLine="1504"/>
        <w:jc w:val="center"/>
        <w:rPr>
          <w:rFonts w:hint="eastAsia" w:ascii="Times New Roman" w:hAnsi="Times New Roman" w:eastAsia="宋体"/>
          <w:color w:val="auto"/>
          <w:highlight w:val="none"/>
        </w:rPr>
      </w:pPr>
    </w:p>
    <w:p>
      <w:pPr>
        <w:bidi w:val="0"/>
        <w:ind w:firstLine="1504"/>
        <w:jc w:val="center"/>
        <w:rPr>
          <w:rFonts w:hint="eastAsia" w:ascii="Times New Roman" w:hAnsi="Times New Roman" w:eastAsia="宋体"/>
          <w:color w:val="auto"/>
          <w:highlight w:val="none"/>
        </w:rPr>
      </w:pPr>
      <w:r>
        <w:rPr>
          <w:rFonts w:hint="eastAsia" w:ascii="Times New Roman" w:hAnsi="Times New Roman" w:eastAsia="宋体"/>
          <w:color w:val="auto"/>
          <w:highlight w:val="none"/>
        </w:rPr>
        <w:t>年  月  日</w:t>
      </w:r>
    </w:p>
    <w:p>
      <w:pPr>
        <w:snapToGrid w:val="0"/>
        <w:spacing w:line="360" w:lineRule="auto"/>
        <w:ind w:firstLine="470" w:firstLineChars="196"/>
        <w:jc w:val="center"/>
        <w:rPr>
          <w:rFonts w:hint="eastAsia" w:ascii="仿宋" w:hAnsi="仿宋" w:eastAsia="仿宋"/>
          <w:b/>
          <w:color w:val="auto"/>
          <w:sz w:val="40"/>
          <w:szCs w:val="40"/>
          <w:highlight w:val="none"/>
        </w:rPr>
      </w:pPr>
      <w:r>
        <w:rPr>
          <w:rFonts w:hint="eastAsia" w:ascii="仿宋" w:hAnsi="仿宋" w:eastAsia="仿宋"/>
          <w:bCs/>
          <w:color w:val="auto"/>
          <w:sz w:val="24"/>
          <w:highlight w:val="none"/>
        </w:rPr>
        <w:br w:type="page"/>
      </w:r>
      <w:r>
        <w:rPr>
          <w:rFonts w:hint="eastAsia" w:ascii="宋体" w:hAnsi="宋体" w:eastAsia="宋体" w:cs="宋体"/>
          <w:b/>
          <w:color w:val="auto"/>
          <w:sz w:val="40"/>
          <w:szCs w:val="40"/>
          <w:highlight w:val="none"/>
        </w:rPr>
        <w:t>目</w:t>
      </w:r>
      <w:r>
        <w:rPr>
          <w:rFonts w:hint="eastAsia" w:ascii="宋体" w:hAnsi="宋体" w:cs="宋体"/>
          <w:b/>
          <w:color w:val="auto"/>
          <w:sz w:val="40"/>
          <w:szCs w:val="40"/>
          <w:highlight w:val="none"/>
          <w:lang w:val="en-US" w:eastAsia="zh-CN"/>
        </w:rPr>
        <w:t xml:space="preserve"> </w:t>
      </w:r>
      <w:r>
        <w:rPr>
          <w:rFonts w:hint="eastAsia" w:ascii="宋体" w:hAnsi="宋体" w:eastAsia="宋体" w:cs="宋体"/>
          <w:b/>
          <w:color w:val="auto"/>
          <w:sz w:val="40"/>
          <w:szCs w:val="40"/>
          <w:highlight w:val="none"/>
        </w:rPr>
        <w:t>录</w:t>
      </w:r>
    </w:p>
    <w:p>
      <w:pPr>
        <w:keepNext w:val="0"/>
        <w:keepLines w:val="0"/>
        <w:pageBreakBefore w:val="0"/>
        <w:widowControl w:val="0"/>
        <w:kinsoku/>
        <w:wordWrap/>
        <w:overflowPunct/>
        <w:topLinePunct w:val="0"/>
        <w:autoSpaceDE/>
        <w:autoSpaceDN/>
        <w:bidi w:val="0"/>
        <w:adjustRightInd/>
        <w:snapToGrid w:val="0"/>
        <w:spacing w:line="360" w:lineRule="auto"/>
        <w:ind w:firstLine="472" w:firstLineChars="196"/>
        <w:jc w:val="both"/>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1.报价文件：</w:t>
      </w:r>
    </w:p>
    <w:p>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360" w:lineRule="auto"/>
        <w:ind w:firstLine="240" w:firstLineChars="1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竞</w:t>
      </w:r>
      <w:r>
        <w:rPr>
          <w:rFonts w:hint="eastAsia" w:ascii="宋体" w:hAnsi="宋体" w:eastAsia="宋体" w:cs="宋体"/>
          <w:color w:val="auto"/>
          <w:sz w:val="24"/>
          <w:highlight w:val="none"/>
        </w:rPr>
        <w:t>标函（格式见第</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 xml:space="preserve">章）； </w:t>
      </w:r>
    </w:p>
    <w:p>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360" w:lineRule="auto"/>
        <w:ind w:firstLine="240" w:firstLineChars="1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）报价明细表。</w:t>
      </w:r>
    </w:p>
    <w:p>
      <w:pPr>
        <w:keepNext w:val="0"/>
        <w:keepLines w:val="0"/>
        <w:pageBreakBefore w:val="0"/>
        <w:widowControl w:val="0"/>
        <w:kinsoku/>
        <w:wordWrap/>
        <w:overflowPunct/>
        <w:topLinePunct w:val="0"/>
        <w:autoSpaceDE/>
        <w:autoSpaceDN/>
        <w:bidi w:val="0"/>
        <w:adjustRightInd/>
        <w:snapToGrid w:val="0"/>
        <w:spacing w:line="360" w:lineRule="auto"/>
        <w:ind w:firstLine="472" w:firstLineChars="196"/>
        <w:jc w:val="both"/>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2.商务文件：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竞</w:t>
      </w:r>
      <w:r>
        <w:rPr>
          <w:rFonts w:hint="eastAsia" w:ascii="宋体" w:hAnsi="宋体" w:eastAsia="宋体" w:cs="宋体"/>
          <w:color w:val="auto"/>
          <w:sz w:val="24"/>
          <w:highlight w:val="none"/>
        </w:rPr>
        <w:t>标声明书（格式见第</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（2）有效的营业执照等证明文件复印件；</w:t>
      </w:r>
    </w:p>
    <w:p>
      <w:pPr>
        <w:keepNext w:val="0"/>
        <w:keepLines w:val="0"/>
        <w:pageBreakBefore w:val="0"/>
        <w:widowControl w:val="0"/>
        <w:kinsoku/>
        <w:wordWrap/>
        <w:overflowPunct/>
        <w:topLinePunct w:val="0"/>
        <w:autoSpaceDE/>
        <w:autoSpaceDN/>
        <w:bidi w:val="0"/>
        <w:adjustRightInd/>
        <w:snapToGrid w:val="0"/>
        <w:spacing w:line="360" w:lineRule="auto"/>
        <w:ind w:firstLine="960" w:firstLineChars="4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1 \* GB3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①</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有效的营业执照副本复印件或事业单位法人（负责人）证书复印件；</w:t>
      </w:r>
    </w:p>
    <w:p>
      <w:pPr>
        <w:keepNext w:val="0"/>
        <w:keepLines w:val="0"/>
        <w:pageBreakBefore w:val="0"/>
        <w:widowControl w:val="0"/>
        <w:kinsoku/>
        <w:wordWrap/>
        <w:overflowPunct/>
        <w:topLinePunct w:val="0"/>
        <w:autoSpaceDE/>
        <w:autoSpaceDN/>
        <w:bidi w:val="0"/>
        <w:adjustRightInd/>
        <w:snapToGrid w:val="0"/>
        <w:spacing w:line="360" w:lineRule="auto"/>
        <w:ind w:firstLine="960" w:firstLineChars="4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2 \* GB3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②</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有效的其他资质证书复印件；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（3）法定代表人身份证明原件和有效的法定代表人身份证正反面复印件；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）法定代表人授权委托书 （委托代理时提供，格式见第</w:t>
      </w: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rPr>
        <w:t>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）有效的委托代理人身份证正反面复印件；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）参加采购活动前3年内在经营活动中没有重大违法记录的书面声明（格式自拟）；</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在“信用中国”网站（ www.creditchina.gov.cn）查询相关</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主体信用记录；</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）商务响应表（格式见第</w:t>
      </w: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rPr>
        <w:t>章）；</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可作为</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资信评分的资质证明材料（可选）</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的类似成功案例的业绩证明文件（</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同类项目实施情况一览表、合同复印件，格式自拟）；</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认为可以证明其能力或业绩的其它材料（格式自拟）；</w:t>
      </w:r>
    </w:p>
    <w:p>
      <w:pPr>
        <w:keepNext w:val="0"/>
        <w:keepLines w:val="0"/>
        <w:pageBreakBefore w:val="0"/>
        <w:widowControl w:val="0"/>
        <w:kinsoku/>
        <w:wordWrap/>
        <w:overflowPunct/>
        <w:topLinePunct w:val="0"/>
        <w:autoSpaceDE/>
        <w:autoSpaceDN/>
        <w:bidi w:val="0"/>
        <w:adjustRightInd/>
        <w:snapToGrid w:val="0"/>
        <w:spacing w:line="360" w:lineRule="auto"/>
        <w:ind w:firstLine="472" w:firstLineChars="196"/>
        <w:jc w:val="both"/>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3.技术文件</w:t>
      </w:r>
    </w:p>
    <w:p>
      <w:pPr>
        <w:keepNext w:val="0"/>
        <w:keepLines w:val="0"/>
        <w:pageBreakBefore w:val="0"/>
        <w:widowControl w:val="0"/>
        <w:kinsoku/>
        <w:wordWrap/>
        <w:overflowPunct/>
        <w:topLinePunct w:val="0"/>
        <w:autoSpaceDE/>
        <w:autoSpaceDN/>
        <w:bidi w:val="0"/>
        <w:adjustRightInd/>
        <w:snapToGrid w:val="0"/>
        <w:spacing w:line="360" w:lineRule="auto"/>
        <w:ind w:firstLine="120" w:firstLineChars="5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（1）技术响应表（格式见第</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章）；</w:t>
      </w:r>
    </w:p>
    <w:p>
      <w:pPr>
        <w:keepNext w:val="0"/>
        <w:keepLines w:val="0"/>
        <w:pageBreakBefore w:val="0"/>
        <w:widowControl w:val="0"/>
        <w:kinsoku/>
        <w:wordWrap/>
        <w:overflowPunct/>
        <w:topLinePunct w:val="0"/>
        <w:autoSpaceDE/>
        <w:autoSpaceDN/>
        <w:bidi w:val="0"/>
        <w:adjustRightInd/>
        <w:snapToGrid w:val="0"/>
        <w:spacing w:line="360" w:lineRule="auto"/>
        <w:ind w:firstLine="120" w:firstLineChars="5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（2）服务方案（格式自拟）；</w:t>
      </w:r>
    </w:p>
    <w:p>
      <w:pPr>
        <w:keepNext w:val="0"/>
        <w:keepLines w:val="0"/>
        <w:pageBreakBefore w:val="0"/>
        <w:widowControl w:val="0"/>
        <w:kinsoku/>
        <w:wordWrap/>
        <w:overflowPunct/>
        <w:topLinePunct w:val="0"/>
        <w:autoSpaceDE/>
        <w:autoSpaceDN/>
        <w:bidi w:val="0"/>
        <w:adjustRightInd/>
        <w:snapToGrid w:val="0"/>
        <w:spacing w:line="360" w:lineRule="auto"/>
        <w:ind w:firstLine="120" w:firstLineChars="50"/>
        <w:jc w:val="both"/>
        <w:textAlignment w:val="auto"/>
        <w:rPr>
          <w:rFonts w:hint="eastAsia" w:ascii="宋体" w:hAnsi="宋体" w:eastAsia="宋体" w:cs="宋体"/>
          <w:color w:val="auto"/>
          <w:szCs w:val="21"/>
          <w:highlight w:val="none"/>
        </w:rPr>
      </w:pPr>
      <w:r>
        <w:rPr>
          <w:rFonts w:hint="eastAsia" w:ascii="宋体" w:hAnsi="宋体" w:eastAsia="宋体" w:cs="宋体"/>
          <w:color w:val="auto"/>
          <w:sz w:val="24"/>
          <w:highlight w:val="none"/>
        </w:rPr>
        <w:t>（3）拟投入</w:t>
      </w:r>
      <w:r>
        <w:rPr>
          <w:rFonts w:hint="eastAsia" w:ascii="宋体" w:hAnsi="宋体" w:cs="宋体"/>
          <w:color w:val="auto"/>
          <w:sz w:val="24"/>
          <w:highlight w:val="none"/>
          <w:lang w:val="en-US" w:eastAsia="zh-CN"/>
        </w:rPr>
        <w:t>服务</w:t>
      </w:r>
      <w:r>
        <w:rPr>
          <w:rFonts w:hint="eastAsia" w:ascii="宋体" w:hAnsi="宋体" w:eastAsia="宋体" w:cs="宋体"/>
          <w:color w:val="auto"/>
          <w:sz w:val="24"/>
          <w:highlight w:val="none"/>
        </w:rPr>
        <w:t>人员情况（含项目实施人员一览表，格式自拟）</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120" w:firstLineChars="50"/>
        <w:jc w:val="both"/>
        <w:textAlignment w:val="auto"/>
        <w:rPr>
          <w:rFonts w:hint="eastAsia" w:ascii="宋体" w:hAnsi="宋体" w:eastAsia="宋体" w:cs="宋体"/>
          <w:bCs/>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需要说明的其他文件和说明（格式自拟）。</w:t>
      </w:r>
    </w:p>
    <w:p>
      <w:pPr>
        <w:snapToGrid w:val="0"/>
        <w:spacing w:before="120" w:beforeLines="50" w:after="50"/>
        <w:ind w:firstLine="645"/>
        <w:rPr>
          <w:rFonts w:hint="eastAsia" w:ascii="仿宋" w:hAnsi="仿宋" w:eastAsia="仿宋"/>
          <w:bCs/>
          <w:color w:val="auto"/>
          <w:sz w:val="24"/>
          <w:highlight w:val="none"/>
        </w:rPr>
      </w:pPr>
    </w:p>
    <w:p>
      <w:pPr>
        <w:bidi w:val="0"/>
        <w:rPr>
          <w:rFonts w:hint="eastAsia"/>
          <w:color w:val="auto"/>
          <w:highlight w:val="none"/>
        </w:rPr>
      </w:pPr>
      <w:r>
        <w:rPr>
          <w:rFonts w:hint="eastAsia" w:ascii="仿宋" w:hAnsi="仿宋" w:eastAsia="仿宋"/>
          <w:bCs/>
          <w:color w:val="auto"/>
          <w:highlight w:val="none"/>
        </w:rPr>
        <w:br w:type="page"/>
      </w:r>
      <w:bookmarkStart w:id="65" w:name="_Toc4131"/>
      <w:r>
        <w:rPr>
          <w:rFonts w:hint="eastAsia"/>
          <w:color w:val="auto"/>
          <w:highlight w:val="none"/>
        </w:rPr>
        <w:t>一、报价文件格式</w:t>
      </w:r>
      <w:bookmarkEnd w:id="65"/>
    </w:p>
    <w:p>
      <w:pPr>
        <w:bidi w:val="0"/>
        <w:rPr>
          <w:rFonts w:hint="eastAsia"/>
          <w:color w:val="auto"/>
          <w:highlight w:val="none"/>
        </w:rPr>
      </w:pPr>
      <w:r>
        <w:rPr>
          <w:rFonts w:hint="eastAsia"/>
          <w:color w:val="auto"/>
          <w:highlight w:val="none"/>
        </w:rPr>
        <w:t>报价文件内封面格式：</w:t>
      </w:r>
    </w:p>
    <w:p>
      <w:pPr>
        <w:widowControl/>
        <w:jc w:val="left"/>
        <w:rPr>
          <w:rFonts w:hint="eastAsia" w:ascii="仿宋" w:hAnsi="仿宋" w:eastAsia="仿宋"/>
          <w:b/>
          <w:color w:val="auto"/>
          <w:sz w:val="24"/>
          <w:highlight w:val="none"/>
        </w:rPr>
      </w:pPr>
    </w:p>
    <w:p>
      <w:pPr>
        <w:widowControl/>
        <w:jc w:val="left"/>
        <w:rPr>
          <w:rFonts w:hint="eastAsia" w:ascii="仿宋" w:hAnsi="仿宋" w:eastAsia="仿宋"/>
          <w:b/>
          <w:color w:val="auto"/>
          <w:sz w:val="24"/>
          <w:highlight w:val="none"/>
        </w:rPr>
      </w:pPr>
      <w:r>
        <w:rPr>
          <w:rFonts w:hint="eastAsia" w:ascii="仿宋" w:hAnsi="仿宋" w:eastAsia="仿宋"/>
          <w:b/>
          <w:color w:val="auto"/>
          <w:sz w:val="24"/>
          <w:highlight w:val="none"/>
        </w:rPr>
        <w:t xml:space="preserve"> </w:t>
      </w:r>
    </w:p>
    <w:p>
      <w:pPr>
        <w:snapToGrid w:val="0"/>
        <w:spacing w:before="120" w:beforeLines="50" w:after="50" w:line="400" w:lineRule="exact"/>
        <w:jc w:val="center"/>
        <w:rPr>
          <w:rFonts w:hint="eastAsia" w:ascii="仿宋" w:hAnsi="仿宋" w:eastAsia="仿宋"/>
          <w:b/>
          <w:bCs/>
          <w:color w:val="auto"/>
          <w:sz w:val="52"/>
          <w:szCs w:val="52"/>
          <w:highlight w:val="none"/>
        </w:rPr>
      </w:pPr>
      <w:r>
        <w:rPr>
          <w:rFonts w:hint="eastAsia" w:ascii="仿宋" w:hAnsi="仿宋" w:eastAsia="仿宋"/>
          <w:b/>
          <w:bCs/>
          <w:color w:val="auto"/>
          <w:sz w:val="52"/>
          <w:szCs w:val="52"/>
          <w:highlight w:val="none"/>
        </w:rPr>
        <w:t>报 价 文 件</w:t>
      </w:r>
    </w:p>
    <w:p>
      <w:pPr>
        <w:bidi w:val="0"/>
        <w:rPr>
          <w:rFonts w:hint="eastAsia"/>
          <w:color w:val="auto"/>
          <w:highlight w:val="none"/>
        </w:rPr>
      </w:pPr>
    </w:p>
    <w:p>
      <w:pPr>
        <w:bidi w:val="0"/>
        <w:rPr>
          <w:rFonts w:hint="eastAsia"/>
          <w:color w:val="auto"/>
          <w:highlight w:val="none"/>
        </w:rPr>
      </w:pPr>
      <w:r>
        <w:rPr>
          <w:rFonts w:hint="eastAsia"/>
          <w:color w:val="auto"/>
          <w:highlight w:val="none"/>
        </w:rPr>
        <w:t>项目名称：</w:t>
      </w:r>
      <w:r>
        <w:rPr>
          <w:rFonts w:hint="eastAsia"/>
          <w:color w:val="auto"/>
          <w:highlight w:val="none"/>
          <w:lang w:val="en-US" w:eastAsia="zh-CN"/>
        </w:rPr>
        <w:t>广西国际博览集团有限公司2019－2023年度重点群体退抵税补贴项目服务采购项目</w:t>
      </w:r>
    </w:p>
    <w:p>
      <w:pPr>
        <w:bidi w:val="0"/>
        <w:rPr>
          <w:rFonts w:hint="eastAsia"/>
          <w:color w:val="auto"/>
          <w:highlight w:val="none"/>
        </w:rPr>
      </w:pPr>
    </w:p>
    <w:p>
      <w:pPr>
        <w:bidi w:val="0"/>
        <w:rPr>
          <w:rFonts w:hint="eastAsia"/>
          <w:color w:val="auto"/>
          <w:highlight w:val="none"/>
        </w:rPr>
      </w:pPr>
      <w:r>
        <w:rPr>
          <w:rFonts w:hint="eastAsia"/>
          <w:color w:val="auto"/>
          <w:highlight w:val="none"/>
          <w:lang w:eastAsia="zh-CN"/>
        </w:rPr>
        <w:t>供应商</w:t>
      </w:r>
      <w:r>
        <w:rPr>
          <w:rFonts w:hint="eastAsia"/>
          <w:color w:val="auto"/>
          <w:highlight w:val="none"/>
        </w:rPr>
        <w:t>名称：</w:t>
      </w:r>
    </w:p>
    <w:p>
      <w:pPr>
        <w:bidi w:val="0"/>
        <w:rPr>
          <w:rFonts w:hint="eastAsia"/>
          <w:color w:val="auto"/>
          <w:highlight w:val="none"/>
        </w:rPr>
      </w:pPr>
    </w:p>
    <w:p>
      <w:pPr>
        <w:bidi w:val="0"/>
        <w:rPr>
          <w:rFonts w:hint="eastAsia"/>
          <w:color w:val="auto"/>
          <w:highlight w:val="none"/>
        </w:rPr>
      </w:pPr>
      <w:r>
        <w:rPr>
          <w:rFonts w:hint="eastAsia"/>
          <w:color w:val="auto"/>
          <w:highlight w:val="none"/>
        </w:rPr>
        <w:t>法定代表人或委托代理人签字：</w:t>
      </w:r>
    </w:p>
    <w:p>
      <w:pPr>
        <w:pStyle w:val="7"/>
        <w:snapToGrid w:val="0"/>
        <w:spacing w:before="50" w:after="50"/>
        <w:ind w:firstLine="960" w:firstLineChars="400"/>
        <w:rPr>
          <w:rFonts w:hint="eastAsia" w:ascii="仿宋" w:hAnsi="仿宋" w:eastAsia="仿宋"/>
          <w:bCs/>
          <w:color w:val="auto"/>
          <w:sz w:val="24"/>
          <w:szCs w:val="24"/>
          <w:highlight w:val="none"/>
        </w:rPr>
      </w:pPr>
    </w:p>
    <w:p>
      <w:pPr>
        <w:pStyle w:val="7"/>
        <w:snapToGrid w:val="0"/>
        <w:spacing w:before="50" w:after="50"/>
        <w:ind w:firstLine="960" w:firstLineChars="400"/>
        <w:rPr>
          <w:rFonts w:hint="eastAsia" w:ascii="仿宋" w:hAnsi="仿宋" w:eastAsia="仿宋"/>
          <w:bCs/>
          <w:color w:val="auto"/>
          <w:sz w:val="24"/>
          <w:szCs w:val="24"/>
          <w:highlight w:val="none"/>
        </w:rPr>
      </w:pPr>
    </w:p>
    <w:p>
      <w:pPr>
        <w:snapToGrid w:val="0"/>
        <w:spacing w:before="120" w:beforeLines="50" w:after="50"/>
        <w:ind w:firstLine="4080" w:firstLineChars="1700"/>
        <w:rPr>
          <w:rFonts w:hint="eastAsia" w:ascii="仿宋" w:hAnsi="仿宋" w:eastAsia="仿宋"/>
          <w:bCs/>
          <w:color w:val="auto"/>
          <w:sz w:val="24"/>
          <w:szCs w:val="20"/>
          <w:highlight w:val="none"/>
        </w:rPr>
      </w:pPr>
    </w:p>
    <w:p>
      <w:pPr>
        <w:snapToGrid w:val="0"/>
        <w:spacing w:before="120" w:beforeLines="50" w:after="50"/>
        <w:ind w:firstLine="645"/>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年  月  日</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color w:val="auto"/>
          <w:sz w:val="24"/>
          <w:szCs w:val="24"/>
          <w:highlight w:val="none"/>
        </w:rPr>
      </w:pPr>
      <w:r>
        <w:rPr>
          <w:rFonts w:hint="eastAsia" w:ascii="仿宋" w:hAnsi="仿宋" w:eastAsia="仿宋"/>
          <w:bCs/>
          <w:color w:val="auto"/>
          <w:sz w:val="24"/>
          <w:highlight w:val="none"/>
        </w:rPr>
        <w:br w:type="page"/>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1</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竞</w:t>
      </w:r>
      <w:r>
        <w:rPr>
          <w:rFonts w:hint="eastAsia" w:ascii="宋体" w:hAnsi="宋体" w:eastAsia="宋体" w:cs="宋体"/>
          <w:b/>
          <w:color w:val="auto"/>
          <w:sz w:val="24"/>
          <w:szCs w:val="24"/>
          <w:highlight w:val="none"/>
        </w:rPr>
        <w:t>标函格式：</w:t>
      </w:r>
    </w:p>
    <w:p>
      <w:pPr>
        <w:spacing w:before="312" w:beforeLines="100" w:after="312" w:afterLines="100" w:line="400" w:lineRule="exact"/>
        <w:ind w:firstLine="1504"/>
        <w:jc w:val="center"/>
        <w:rPr>
          <w:rFonts w:hint="eastAsia" w:ascii="宋体" w:hAnsi="宋体" w:eastAsia="宋体" w:cs="Times New Roman"/>
          <w:b/>
          <w:color w:val="auto"/>
          <w:sz w:val="36"/>
          <w:szCs w:val="36"/>
          <w:highlight w:val="none"/>
        </w:rPr>
      </w:pPr>
      <w:r>
        <w:rPr>
          <w:rFonts w:hint="eastAsia" w:ascii="宋体" w:hAnsi="宋体" w:eastAsia="宋体" w:cs="Times New Roman"/>
          <w:b/>
          <w:color w:val="auto"/>
          <w:sz w:val="36"/>
          <w:szCs w:val="36"/>
          <w:highlight w:val="none"/>
          <w:lang w:val="en-US" w:eastAsia="zh-CN"/>
        </w:rPr>
        <w:t>竞</w:t>
      </w:r>
      <w:r>
        <w:rPr>
          <w:rFonts w:hint="eastAsia" w:ascii="宋体" w:hAnsi="宋体" w:eastAsia="宋体" w:cs="Times New Roman"/>
          <w:b/>
          <w:color w:val="auto"/>
          <w:sz w:val="36"/>
          <w:szCs w:val="36"/>
          <w:highlight w:val="none"/>
        </w:rPr>
        <w:t xml:space="preserve"> 标 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eastAsia="zh-CN"/>
        </w:rPr>
        <w:t>XXXXXXXXXXXX</w:t>
      </w:r>
      <w:r>
        <w:rPr>
          <w:rFonts w:hint="eastAsia" w:ascii="宋体" w:hAnsi="宋体" w:eastAsia="宋体" w:cs="宋体"/>
          <w:color w:val="auto"/>
          <w:sz w:val="24"/>
          <w:szCs w:val="24"/>
          <w:highlight w:val="none"/>
        </w:rPr>
        <w:t>（采购人名称）：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邀请书，签字代表（全名）</w:t>
      </w:r>
      <w:r>
        <w:rPr>
          <w:rFonts w:hint="eastAsia" w:ascii="仿宋" w:hAnsi="仿宋" w:eastAsia="仿宋"/>
          <w:color w:val="auto"/>
          <w:sz w:val="24"/>
          <w:highlight w:val="none"/>
          <w:u w:val="single"/>
        </w:rPr>
        <w:t xml:space="preserve">             </w:t>
      </w:r>
      <w:r>
        <w:rPr>
          <w:rFonts w:hint="eastAsia" w:ascii="宋体" w:hAnsi="宋体" w:eastAsia="宋体" w:cs="宋体"/>
          <w:color w:val="auto"/>
          <w:sz w:val="24"/>
          <w:szCs w:val="24"/>
          <w:highlight w:val="none"/>
        </w:rPr>
        <w:t>经正式授权并代表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名称）提交报价文件、商务文件、技术文件正本各一份、副本</w:t>
      </w:r>
      <w:r>
        <w:rPr>
          <w:rFonts w:hint="eastAsia" w:ascii="宋体" w:hAnsi="宋体" w:eastAsia="宋体" w:cs="宋体"/>
          <w:color w:val="auto"/>
          <w:sz w:val="24"/>
          <w:szCs w:val="24"/>
          <w:highlight w:val="none"/>
          <w:lang w:eastAsia="zh-CN"/>
        </w:rPr>
        <w:t>肆</w:t>
      </w:r>
      <w:r>
        <w:rPr>
          <w:rFonts w:hint="eastAsia" w:ascii="宋体" w:hAnsi="宋体" w:eastAsia="宋体" w:cs="宋体"/>
          <w:color w:val="auto"/>
          <w:sz w:val="24"/>
          <w:szCs w:val="24"/>
          <w:highlight w:val="none"/>
        </w:rPr>
        <w:t>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据此函，签字代表宣布同意如下：</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已详细审查全部“</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文件”，包括修改文件（如有的话）以及全部参考资料和有关附件，已经了解我方对于招标文件、采购过程、采购结果有依法进行询问、质疑、投诉的权利及相关渠道和要求。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在投标之前已经与贵方进行了充分的沟通，完全理解并接受招标文件的各项规定和要求，对招标文件的合理性、合法性不再有异议。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本投标有效期自开标日起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如中标，本</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至本项目合同履行完毕止均保持有效，本</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将按“</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文件”及政府采购法律、法规的规定履行合同责任和义务。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同意按照贵方要求提供与投标有关的一切数据或资料。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与本投标有关的一切正式往来信函请寄：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电话：</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代表姓名：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银行帐号：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56"/>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Ansi="宋体" w:eastAsia="宋体"/>
          <w:color w:val="auto"/>
          <w:sz w:val="24"/>
          <w:szCs w:val="24"/>
          <w:highlight w:val="none"/>
          <w:u w:val="single"/>
        </w:rPr>
      </w:pPr>
      <w:r>
        <w:rPr>
          <w:rFonts w:hint="eastAsia" w:hAnsi="宋体" w:eastAsia="宋体"/>
          <w:color w:val="auto"/>
          <w:sz w:val="24"/>
          <w:szCs w:val="24"/>
          <w:highlight w:val="none"/>
          <w:lang w:eastAsia="zh-CN"/>
        </w:rPr>
        <w:t>供应商</w:t>
      </w:r>
      <w:r>
        <w:rPr>
          <w:rFonts w:hint="eastAsia" w:hAnsi="宋体" w:eastAsia="宋体"/>
          <w:color w:val="auto"/>
          <w:sz w:val="24"/>
          <w:szCs w:val="24"/>
          <w:highlight w:val="none"/>
        </w:rPr>
        <w:t>（盖单位公章）：</w:t>
      </w:r>
      <w:r>
        <w:rPr>
          <w:rFonts w:hint="eastAsia" w:hAnsi="宋体" w:eastAsia="宋体"/>
          <w:color w:val="auto"/>
          <w:sz w:val="24"/>
          <w:szCs w:val="24"/>
          <w:highlight w:val="none"/>
          <w:u w:val="single"/>
        </w:rPr>
        <w:t xml:space="preserve">                              </w:t>
      </w:r>
    </w:p>
    <w:p>
      <w:pPr>
        <w:pStyle w:val="156"/>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Ansi="宋体" w:eastAsia="宋体"/>
          <w:color w:val="auto"/>
          <w:sz w:val="24"/>
          <w:szCs w:val="24"/>
          <w:highlight w:val="none"/>
          <w:u w:val="single"/>
        </w:rPr>
      </w:pPr>
      <w:r>
        <w:rPr>
          <w:rFonts w:hint="eastAsia" w:hAnsi="宋体" w:eastAsia="宋体"/>
          <w:color w:val="auto"/>
          <w:sz w:val="24"/>
          <w:szCs w:val="24"/>
          <w:highlight w:val="none"/>
        </w:rPr>
        <w:t>法定代表人或其委托代理人（签字或盖章）：</w:t>
      </w:r>
      <w:r>
        <w:rPr>
          <w:rFonts w:hint="eastAsia" w:hAnsi="宋体" w:eastAsia="宋体"/>
          <w:color w:val="auto"/>
          <w:sz w:val="24"/>
          <w:szCs w:val="24"/>
          <w:highlight w:val="none"/>
          <w:u w:val="single"/>
        </w:rPr>
        <w:t xml:space="preserve">            </w:t>
      </w:r>
    </w:p>
    <w:p>
      <w:pPr>
        <w:pStyle w:val="156"/>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Ansi="宋体" w:eastAsia="宋体"/>
          <w:color w:val="auto"/>
          <w:sz w:val="24"/>
          <w:szCs w:val="24"/>
          <w:highlight w:val="none"/>
          <w:u w:val="single"/>
        </w:rPr>
      </w:pPr>
      <w:r>
        <w:rPr>
          <w:rFonts w:hint="eastAsia" w:hAnsi="宋体" w:eastAsia="宋体"/>
          <w:color w:val="auto"/>
          <w:sz w:val="24"/>
          <w:szCs w:val="24"/>
          <w:highlight w:val="none"/>
        </w:rPr>
        <w:t>日期：</w:t>
      </w:r>
      <w:r>
        <w:rPr>
          <w:rFonts w:hint="eastAsia" w:hAnsi="宋体" w:eastAsia="宋体"/>
          <w:color w:val="auto"/>
          <w:sz w:val="24"/>
          <w:szCs w:val="24"/>
          <w:highlight w:val="none"/>
          <w:u w:val="single"/>
        </w:rPr>
        <w:t xml:space="preserve">            </w:t>
      </w:r>
    </w:p>
    <w:p>
      <w:pPr>
        <w:spacing w:before="312" w:beforeLines="100" w:after="312" w:afterLines="100" w:line="400" w:lineRule="exact"/>
        <w:ind w:left="0" w:leftChars="0" w:firstLine="0" w:firstLineChars="0"/>
        <w:jc w:val="left"/>
        <w:rPr>
          <w:rFonts w:hint="eastAsia" w:ascii="仿宋" w:hAnsi="仿宋" w:eastAsia="仿宋"/>
          <w:color w:val="auto"/>
          <w:highlight w:val="none"/>
        </w:rPr>
      </w:pPr>
      <w:r>
        <w:rPr>
          <w:rFonts w:hint="eastAsia" w:ascii="仿宋" w:hAnsi="仿宋" w:eastAsia="仿宋"/>
          <w:color w:val="auto"/>
          <w:highlight w:val="none"/>
        </w:rPr>
        <w:br w:type="page"/>
      </w:r>
      <w:bookmarkStart w:id="66" w:name="_Toc293863333"/>
      <w:bookmarkStart w:id="67" w:name="_Toc254970698"/>
      <w:bookmarkStart w:id="68" w:name="_Toc293863063"/>
      <w:bookmarkStart w:id="69" w:name="_Toc301424942"/>
      <w:bookmarkStart w:id="70" w:name="_Toc326217568"/>
      <w:bookmarkStart w:id="71" w:name="_Toc254970557"/>
      <w:bookmarkStart w:id="72" w:name="_Toc20258"/>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报价明细表</w:t>
      </w:r>
      <w:r>
        <w:rPr>
          <w:rFonts w:hint="eastAsia" w:ascii="宋体" w:hAnsi="宋体" w:eastAsia="宋体" w:cs="宋体"/>
          <w:b/>
          <w:color w:val="auto"/>
          <w:sz w:val="24"/>
          <w:szCs w:val="24"/>
          <w:highlight w:val="none"/>
        </w:rPr>
        <w:t>格式：</w:t>
      </w:r>
    </w:p>
    <w:p>
      <w:pPr>
        <w:snapToGrid w:val="0"/>
        <w:spacing w:before="50" w:after="50"/>
        <w:jc w:val="cente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开标一览表</w:t>
      </w:r>
    </w:p>
    <w:p>
      <w:pPr>
        <w:snapToGrid w:val="0"/>
        <w:spacing w:before="50" w:after="50"/>
        <w:rPr>
          <w:rFonts w:hint="eastAsia" w:ascii="仿宋" w:hAnsi="仿宋" w:eastAsia="仿宋" w:cs="仿宋"/>
          <w:color w:val="auto"/>
          <w:sz w:val="24"/>
          <w:highlight w:val="none"/>
        </w:rPr>
      </w:pPr>
      <w:r>
        <w:rPr>
          <w:rFonts w:hint="eastAsia" w:ascii="仿宋" w:hAnsi="仿宋" w:eastAsia="仿宋"/>
          <w:color w:val="auto"/>
          <w:sz w:val="24"/>
          <w:highlight w:val="none"/>
        </w:rPr>
        <w:t>项目名称：</w:t>
      </w:r>
      <w:r>
        <w:rPr>
          <w:rFonts w:hint="eastAsia" w:ascii="仿宋" w:hAnsi="仿宋" w:eastAsia="仿宋"/>
          <w:color w:val="auto"/>
          <w:sz w:val="24"/>
          <w:highlight w:val="none"/>
          <w:lang w:val="en-US" w:eastAsia="zh-CN"/>
        </w:rPr>
        <w:t>广西国际博览集团有限公司2019－2023年度重点群体退抵税补贴项目服务采购项目</w:t>
      </w:r>
    </w:p>
    <w:p>
      <w:pPr>
        <w:snapToGrid w:val="0"/>
        <w:spacing w:before="50" w:after="50"/>
        <w:rPr>
          <w:rFonts w:hint="eastAsia" w:ascii="仿宋" w:hAnsi="仿宋" w:eastAsia="仿宋"/>
          <w:color w:val="auto"/>
          <w:sz w:val="24"/>
          <w:highlight w:val="none"/>
        </w:rPr>
      </w:pPr>
      <w:r>
        <w:rPr>
          <w:rFonts w:hint="eastAsia" w:ascii="仿宋" w:hAnsi="仿宋" w:eastAsia="仿宋"/>
          <w:color w:val="auto"/>
          <w:sz w:val="24"/>
          <w:highlight w:val="none"/>
          <w:lang w:eastAsia="zh-CN"/>
        </w:rPr>
        <w:t>供应商</w:t>
      </w:r>
      <w:r>
        <w:rPr>
          <w:rFonts w:hint="eastAsia" w:ascii="仿宋" w:hAnsi="仿宋" w:eastAsia="仿宋"/>
          <w:color w:val="auto"/>
          <w:sz w:val="24"/>
          <w:highlight w:val="none"/>
        </w:rPr>
        <w:t>名称：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pPr>
        <w:snapToGrid w:val="0"/>
        <w:spacing w:before="50" w:after="50"/>
        <w:ind w:right="240"/>
        <w:jc w:val="right"/>
        <w:rPr>
          <w:rFonts w:hint="eastAsia" w:ascii="仿宋" w:hAnsi="仿宋" w:eastAsia="仿宋"/>
          <w:color w:val="auto"/>
          <w:sz w:val="24"/>
          <w:highlight w:val="none"/>
        </w:rPr>
      </w:pPr>
    </w:p>
    <w:p>
      <w:pPr>
        <w:snapToGrid w:val="0"/>
        <w:spacing w:before="50" w:after="50"/>
        <w:ind w:right="240"/>
        <w:jc w:val="left"/>
        <w:rPr>
          <w:rFonts w:hint="eastAsia" w:ascii="仿宋" w:hAnsi="仿宋" w:eastAsia="仿宋"/>
          <w:color w:val="auto"/>
          <w:sz w:val="24"/>
          <w:highlight w:val="none"/>
        </w:rPr>
      </w:pPr>
      <w:r>
        <w:rPr>
          <w:rFonts w:hint="eastAsia" w:ascii="仿宋" w:hAnsi="仿宋" w:eastAsia="仿宋"/>
          <w:color w:val="auto"/>
          <w:sz w:val="24"/>
          <w:highlight w:val="none"/>
        </w:rPr>
        <w:t>投标报价明细表</w:t>
      </w:r>
    </w:p>
    <w:p>
      <w:pPr>
        <w:snapToGrid w:val="0"/>
        <w:spacing w:before="50" w:after="50"/>
        <w:ind w:right="240"/>
        <w:jc w:val="right"/>
        <w:rPr>
          <w:rFonts w:hint="eastAsia" w:ascii="仿宋" w:hAnsi="仿宋" w:eastAsia="仿宋"/>
          <w:color w:val="auto"/>
          <w:sz w:val="24"/>
          <w:highlight w:val="none"/>
          <w:u w:val="single"/>
        </w:rPr>
      </w:pPr>
      <w:r>
        <w:rPr>
          <w:rFonts w:hint="eastAsia" w:ascii="仿宋" w:hAnsi="仿宋" w:eastAsia="仿宋"/>
          <w:color w:val="auto"/>
          <w:sz w:val="24"/>
          <w:highlight w:val="none"/>
        </w:rPr>
        <w:t>单位：元</w:t>
      </w:r>
    </w:p>
    <w:tbl>
      <w:tblPr>
        <w:tblStyle w:val="46"/>
        <w:tblW w:w="77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14"/>
        <w:gridCol w:w="57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7" w:hRule="atLeast"/>
          <w:jc w:val="center"/>
        </w:trPr>
        <w:tc>
          <w:tcPr>
            <w:tcW w:w="201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仿宋" w:eastAsia="仿宋"/>
                <w:color w:val="auto"/>
                <w:spacing w:val="20"/>
                <w:sz w:val="24"/>
                <w:highlight w:val="none"/>
              </w:rPr>
            </w:pPr>
            <w:r>
              <w:rPr>
                <w:rFonts w:hint="eastAsia" w:ascii="仿宋" w:eastAsia="仿宋"/>
                <w:color w:val="auto"/>
                <w:sz w:val="24"/>
                <w:highlight w:val="none"/>
              </w:rPr>
              <w:t>服务名称</w:t>
            </w:r>
          </w:p>
        </w:tc>
        <w:tc>
          <w:tcPr>
            <w:tcW w:w="576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仿宋" w:eastAsia="仿宋"/>
                <w:color w:val="auto"/>
                <w:sz w:val="24"/>
                <w:highlight w:val="none"/>
              </w:rPr>
            </w:pPr>
            <w:r>
              <w:rPr>
                <w:rFonts w:hint="eastAsia" w:ascii="仿宋" w:eastAsia="仿宋"/>
                <w:color w:val="auto"/>
                <w:sz w:val="24"/>
                <w:highlight w:val="none"/>
                <w:lang w:val="en-US" w:eastAsia="zh-CN"/>
              </w:rPr>
              <w:t>广西国际博览集团有限公司2019－2023年度重点群体退抵税补贴项目服务采购项目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201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仿宋" w:eastAsia="仿宋"/>
                <w:color w:val="auto"/>
                <w:sz w:val="24"/>
                <w:highlight w:val="none"/>
                <w:lang w:eastAsia="zh-CN"/>
              </w:rPr>
            </w:pPr>
            <w:r>
              <w:rPr>
                <w:rFonts w:hint="eastAsia" w:ascii="仿宋" w:eastAsia="仿宋"/>
                <w:color w:val="auto"/>
                <w:sz w:val="24"/>
                <w:highlight w:val="none"/>
                <w:lang w:eastAsia="zh-CN"/>
              </w:rPr>
              <w:t>受托咨询费报价比例</w:t>
            </w:r>
          </w:p>
        </w:tc>
        <w:tc>
          <w:tcPr>
            <w:tcW w:w="576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both"/>
              <w:rPr>
                <w:rFonts w:hint="eastAsia" w:ascii="仿宋" w:eastAsia="仿宋"/>
                <w:color w:val="auto"/>
                <w:sz w:val="24"/>
                <w:highlight w:val="none"/>
                <w:lang w:eastAsia="zh-CN"/>
              </w:rPr>
            </w:pPr>
            <w:r>
              <w:rPr>
                <w:rFonts w:hint="eastAsia" w:ascii="仿宋" w:eastAsia="仿宋"/>
                <w:color w:val="auto"/>
                <w:sz w:val="24"/>
                <w:highlight w:val="none"/>
                <w:lang w:eastAsia="zh-CN"/>
              </w:rPr>
              <w:t xml:space="preserve">南宁市内企业重点人群退税金额* </w:t>
            </w:r>
            <w:r>
              <w:rPr>
                <w:rFonts w:hint="eastAsia" w:ascii="仿宋" w:eastAsia="仿宋"/>
                <w:color w:val="auto"/>
                <w:sz w:val="24"/>
                <w:highlight w:val="none"/>
                <w:u w:val="single"/>
                <w:lang w:eastAsia="zh-CN"/>
              </w:rPr>
              <w:t xml:space="preserve">          </w:t>
            </w:r>
            <w:r>
              <w:rPr>
                <w:rFonts w:hint="eastAsia" w:ascii="仿宋" w:eastAsia="仿宋"/>
                <w:color w:val="auto"/>
                <w:sz w:val="24"/>
                <w:highlight w:val="none"/>
                <w:lang w:eastAsia="zh-CN"/>
              </w:rPr>
              <w:t>%；</w:t>
            </w:r>
          </w:p>
          <w:p>
            <w:pPr>
              <w:tabs>
                <w:tab w:val="left" w:pos="1418"/>
              </w:tabs>
              <w:snapToGrid w:val="0"/>
              <w:spacing w:before="50" w:after="50"/>
              <w:jc w:val="center"/>
              <w:rPr>
                <w:rFonts w:hint="eastAsia" w:ascii="仿宋" w:eastAsia="仿宋"/>
                <w:color w:val="auto"/>
                <w:sz w:val="24"/>
                <w:highlight w:val="none"/>
                <w:lang w:eastAsia="zh-CN"/>
              </w:rPr>
            </w:pPr>
            <w:r>
              <w:rPr>
                <w:rFonts w:hint="eastAsia" w:ascii="仿宋" w:eastAsia="仿宋"/>
                <w:color w:val="auto"/>
                <w:sz w:val="24"/>
                <w:highlight w:val="none"/>
                <w:lang w:eastAsia="zh-CN"/>
              </w:rPr>
              <w:t xml:space="preserve">南宁市外企业重点人群退税金额* </w:t>
            </w:r>
            <w:r>
              <w:rPr>
                <w:rFonts w:hint="eastAsia" w:ascii="仿宋" w:eastAsia="仿宋"/>
                <w:color w:val="auto"/>
                <w:sz w:val="24"/>
                <w:highlight w:val="none"/>
                <w:u w:val="single"/>
                <w:lang w:eastAsia="zh-CN"/>
              </w:rPr>
              <w:t xml:space="preserve">         </w:t>
            </w:r>
            <w:r>
              <w:rPr>
                <w:rFonts w:hint="eastAsia" w:ascii="仿宋" w:eastAsia="仿宋"/>
                <w:color w:val="auto"/>
                <w:sz w:val="24"/>
                <w:highlight w:val="none"/>
                <w:lang w:eastAsia="zh-CN"/>
              </w:rPr>
              <w:t xml:space="preserve"> %；</w:t>
            </w:r>
          </w:p>
          <w:p>
            <w:pPr>
              <w:tabs>
                <w:tab w:val="left" w:pos="1418"/>
              </w:tabs>
              <w:snapToGrid w:val="0"/>
              <w:spacing w:before="50" w:after="50"/>
              <w:jc w:val="both"/>
              <w:rPr>
                <w:rFonts w:hint="eastAsia" w:ascii="仿宋" w:eastAsia="仿宋"/>
                <w:color w:val="auto"/>
                <w:sz w:val="24"/>
                <w:highlight w:val="none"/>
                <w:lang w:eastAsia="zh-CN"/>
              </w:rPr>
            </w:pPr>
            <w:r>
              <w:rPr>
                <w:rFonts w:hint="eastAsia" w:ascii="仿宋" w:eastAsia="仿宋"/>
                <w:color w:val="auto"/>
                <w:sz w:val="24"/>
                <w:highlight w:val="none"/>
                <w:lang w:eastAsia="zh-CN"/>
              </w:rPr>
              <w:t xml:space="preserve">南宁市内人社惠企补贴项目* </w:t>
            </w:r>
            <w:r>
              <w:rPr>
                <w:rFonts w:hint="eastAsia" w:ascii="仿宋" w:eastAsia="仿宋"/>
                <w:color w:val="auto"/>
                <w:sz w:val="24"/>
                <w:highlight w:val="none"/>
                <w:u w:val="single"/>
                <w:lang w:eastAsia="zh-CN"/>
              </w:rPr>
              <w:t xml:space="preserve">              </w:t>
            </w:r>
            <w:r>
              <w:rPr>
                <w:rFonts w:hint="eastAsia" w:ascii="仿宋" w:eastAsia="仿宋"/>
                <w:color w:val="auto"/>
                <w:sz w:val="24"/>
                <w:highlight w:val="none"/>
                <w:lang w:eastAsia="zh-CN"/>
              </w:rPr>
              <w:t xml:space="preserve"> %；</w:t>
            </w:r>
          </w:p>
          <w:p>
            <w:pPr>
              <w:tabs>
                <w:tab w:val="left" w:pos="1418"/>
              </w:tabs>
              <w:snapToGrid w:val="0"/>
              <w:spacing w:before="50" w:after="50"/>
              <w:jc w:val="both"/>
              <w:rPr>
                <w:rFonts w:hint="eastAsia" w:ascii="仿宋" w:eastAsia="仿宋"/>
                <w:color w:val="auto"/>
                <w:sz w:val="24"/>
                <w:highlight w:val="none"/>
                <w:lang w:eastAsia="zh-CN"/>
              </w:rPr>
            </w:pPr>
            <w:r>
              <w:rPr>
                <w:rFonts w:hint="eastAsia" w:ascii="仿宋" w:eastAsia="仿宋"/>
                <w:color w:val="auto"/>
                <w:sz w:val="24"/>
                <w:highlight w:val="none"/>
                <w:lang w:eastAsia="zh-CN"/>
              </w:rPr>
              <w:t xml:space="preserve">南宁市外人社惠企补贴项目* </w:t>
            </w:r>
            <w:r>
              <w:rPr>
                <w:rFonts w:hint="eastAsia" w:ascii="仿宋" w:eastAsia="仿宋"/>
                <w:color w:val="auto"/>
                <w:sz w:val="24"/>
                <w:highlight w:val="none"/>
                <w:u w:val="single"/>
                <w:lang w:eastAsia="zh-CN"/>
              </w:rPr>
              <w:t xml:space="preserve">               </w:t>
            </w:r>
            <w:r>
              <w:rPr>
                <w:rFonts w:hint="eastAsia" w:ascii="仿宋" w:eastAsia="仿宋"/>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9" w:hRule="atLeast"/>
          <w:jc w:val="center"/>
        </w:trPr>
        <w:tc>
          <w:tcPr>
            <w:tcW w:w="201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备注</w:t>
            </w:r>
          </w:p>
        </w:tc>
        <w:tc>
          <w:tcPr>
            <w:tcW w:w="576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left"/>
              <w:rPr>
                <w:rFonts w:hint="default" w:ascii="仿宋" w:eastAsia="仿宋"/>
                <w:color w:val="auto"/>
                <w:sz w:val="24"/>
                <w:highlight w:val="none"/>
                <w:lang w:val="en-US" w:eastAsia="zh-CN"/>
              </w:rPr>
            </w:pPr>
            <w:r>
              <w:rPr>
                <w:rFonts w:hint="eastAsia" w:ascii="仿宋" w:hAnsi="仿宋" w:eastAsia="仿宋" w:cs="仿宋"/>
                <w:b w:val="0"/>
                <w:bCs w:val="0"/>
                <w:i w:val="0"/>
                <w:iCs w:val="0"/>
                <w:caps w:val="0"/>
                <w:color w:val="auto"/>
                <w:spacing w:val="0"/>
                <w:sz w:val="24"/>
                <w:szCs w:val="24"/>
                <w:highlight w:val="none"/>
                <w:shd w:val="clear" w:color="auto" w:fill="FFFFFF"/>
              </w:rPr>
              <w:t>投标报价只报</w:t>
            </w: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咨询费报价比例</w:t>
            </w:r>
            <w:r>
              <w:rPr>
                <w:rFonts w:hint="eastAsia" w:ascii="仿宋" w:hAnsi="仿宋" w:eastAsia="仿宋" w:cs="仿宋"/>
                <w:b w:val="0"/>
                <w:bCs w:val="0"/>
                <w:i w:val="0"/>
                <w:iCs w:val="0"/>
                <w:caps w:val="0"/>
                <w:color w:val="auto"/>
                <w:spacing w:val="0"/>
                <w:sz w:val="24"/>
                <w:szCs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9" w:hRule="atLeast"/>
          <w:jc w:val="center"/>
        </w:trPr>
        <w:tc>
          <w:tcPr>
            <w:tcW w:w="201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仿宋" w:hAnsi="仿宋" w:eastAsia="仿宋"/>
                <w:color w:val="auto"/>
                <w:sz w:val="24"/>
                <w:highlight w:val="none"/>
                <w:lang w:eastAsia="zh-CN"/>
              </w:rPr>
            </w:pPr>
            <w:r>
              <w:rPr>
                <w:rFonts w:ascii="仿宋" w:hAnsi="仿宋" w:eastAsia="仿宋"/>
                <w:color w:val="auto"/>
                <w:sz w:val="24"/>
                <w:highlight w:val="none"/>
              </w:rPr>
              <w:t>服务期限</w:t>
            </w:r>
          </w:p>
        </w:tc>
        <w:tc>
          <w:tcPr>
            <w:tcW w:w="576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仿宋" w:eastAsia="仿宋"/>
                <w:color w:val="auto"/>
                <w:sz w:val="24"/>
                <w:highlight w:val="none"/>
                <w:lang w:val="en-US" w:eastAsia="zh-CN"/>
              </w:rPr>
            </w:pPr>
            <w:r>
              <w:rPr>
                <w:rFonts w:hint="eastAsia" w:ascii="仿宋" w:eastAsia="仿宋"/>
                <w:color w:val="auto"/>
                <w:sz w:val="24"/>
                <w:highlight w:val="none"/>
                <w:lang w:val="en-US" w:eastAsia="zh-CN"/>
              </w:rPr>
              <w:t>2023年9月10日至2024年9月9日</w:t>
            </w:r>
          </w:p>
        </w:tc>
      </w:tr>
    </w:tbl>
    <w:p>
      <w:pPr>
        <w:snapToGrid w:val="0"/>
        <w:spacing w:before="50" w:after="50" w:line="300" w:lineRule="exact"/>
        <w:jc w:val="left"/>
        <w:rPr>
          <w:rFonts w:hint="eastAsia" w:ascii="仿宋" w:hAnsi="仿宋" w:eastAsia="仿宋"/>
          <w:color w:val="auto"/>
          <w:sz w:val="24"/>
          <w:highlight w:val="none"/>
        </w:rPr>
      </w:pPr>
    </w:p>
    <w:p>
      <w:pPr>
        <w:snapToGrid w:val="0"/>
        <w:spacing w:before="50" w:after="50" w:line="300" w:lineRule="exact"/>
        <w:jc w:val="left"/>
        <w:rPr>
          <w:rFonts w:hint="eastAsia" w:ascii="仿宋" w:hAnsi="仿宋" w:eastAsia="仿宋"/>
          <w:color w:val="auto"/>
          <w:sz w:val="24"/>
          <w:highlight w:val="none"/>
        </w:rPr>
      </w:pPr>
      <w:r>
        <w:rPr>
          <w:rFonts w:hint="eastAsia" w:ascii="仿宋" w:hAnsi="仿宋" w:eastAsia="仿宋"/>
          <w:color w:val="auto"/>
          <w:sz w:val="24"/>
          <w:highlight w:val="none"/>
        </w:rPr>
        <w:t>注：</w:t>
      </w:r>
    </w:p>
    <w:p>
      <w:pPr>
        <w:snapToGrid w:val="0"/>
        <w:spacing w:before="50" w:after="50" w:line="300" w:lineRule="exac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报价</w:t>
      </w:r>
      <w:r>
        <w:rPr>
          <w:rFonts w:hint="eastAsia" w:ascii="仿宋" w:hAnsi="仿宋" w:eastAsia="仿宋"/>
          <w:color w:val="auto"/>
          <w:sz w:val="24"/>
          <w:highlight w:val="none"/>
          <w:lang w:eastAsia="zh-CN"/>
        </w:rPr>
        <w:t>如有</w:t>
      </w:r>
      <w:r>
        <w:rPr>
          <w:rFonts w:hint="eastAsia" w:ascii="仿宋" w:hAnsi="仿宋" w:eastAsia="仿宋"/>
          <w:color w:val="auto"/>
          <w:sz w:val="24"/>
          <w:highlight w:val="none"/>
        </w:rPr>
        <w:t>涂改，应在涂改处加盖单位公章或者由法定代表人或授权委托人签字或盖章，否则其投标作无效标处理。</w:t>
      </w:r>
    </w:p>
    <w:p>
      <w:pPr>
        <w:snapToGrid w:val="0"/>
        <w:spacing w:before="50" w:after="50" w:line="300" w:lineRule="exact"/>
        <w:ind w:firstLine="480" w:firstLineChars="200"/>
        <w:rPr>
          <w:rFonts w:hint="eastAsia" w:ascii="仿宋" w:hAnsi="仿宋" w:eastAsia="仿宋"/>
          <w:color w:val="auto"/>
          <w:sz w:val="24"/>
          <w:highlight w:val="none"/>
        </w:rPr>
      </w:pPr>
    </w:p>
    <w:p>
      <w:pPr>
        <w:snapToGrid w:val="0"/>
        <w:spacing w:before="50" w:after="50" w:line="300" w:lineRule="exact"/>
        <w:ind w:left="-2" w:leftChars="-1" w:right="-934" w:rightChars="-389"/>
        <w:rPr>
          <w:rFonts w:hint="eastAsia" w:ascii="仿宋" w:hAnsi="仿宋" w:eastAsia="仿宋"/>
          <w:color w:val="auto"/>
          <w:sz w:val="24"/>
          <w:highlight w:val="none"/>
        </w:rPr>
      </w:pPr>
    </w:p>
    <w:p>
      <w:pPr>
        <w:snapToGrid w:val="0"/>
        <w:spacing w:before="50" w:after="50" w:line="300" w:lineRule="exact"/>
        <w:ind w:left="-2" w:leftChars="-1" w:right="-934" w:rightChars="-389"/>
        <w:rPr>
          <w:rFonts w:hint="eastAsia" w:ascii="仿宋" w:hAnsi="仿宋" w:eastAsia="仿宋"/>
          <w:color w:val="auto"/>
          <w:sz w:val="24"/>
          <w:highlight w:val="none"/>
        </w:rPr>
      </w:pPr>
      <w:r>
        <w:rPr>
          <w:rFonts w:hint="eastAsia" w:ascii="仿宋" w:hAnsi="仿宋" w:eastAsia="仿宋"/>
          <w:color w:val="auto"/>
          <w:sz w:val="24"/>
          <w:highlight w:val="none"/>
        </w:rPr>
        <w:t xml:space="preserve">法定代表人或委托代理人签字：  </w:t>
      </w:r>
      <w:r>
        <w:rPr>
          <w:rFonts w:hint="eastAsia" w:ascii="仿宋" w:hAnsi="仿宋" w:eastAsia="仿宋"/>
          <w:color w:val="auto"/>
          <w:spacing w:val="20"/>
          <w:sz w:val="24"/>
          <w:highlight w:val="none"/>
          <w:u w:val="single"/>
        </w:rPr>
        <w:t xml:space="preserve">            </w:t>
      </w:r>
      <w:r>
        <w:rPr>
          <w:rFonts w:hint="eastAsia" w:ascii="仿宋" w:hAnsi="仿宋" w:eastAsia="仿宋"/>
          <w:color w:val="auto"/>
          <w:sz w:val="24"/>
          <w:highlight w:val="none"/>
        </w:rPr>
        <w:t xml:space="preserve">                  </w:t>
      </w:r>
    </w:p>
    <w:p>
      <w:pPr>
        <w:snapToGrid w:val="0"/>
        <w:spacing w:before="120" w:beforeLines="50" w:after="50"/>
        <w:rPr>
          <w:rFonts w:hint="eastAsia" w:ascii="仿宋" w:hAnsi="仿宋" w:eastAsia="仿宋"/>
          <w:color w:val="auto"/>
          <w:sz w:val="24"/>
          <w:highlight w:val="none"/>
        </w:rPr>
      </w:pPr>
      <w:r>
        <w:rPr>
          <w:rFonts w:hint="eastAsia" w:ascii="仿宋" w:hAnsi="仿宋" w:eastAsia="仿宋"/>
          <w:color w:val="auto"/>
          <w:sz w:val="24"/>
          <w:highlight w:val="none"/>
          <w:lang w:eastAsia="zh-CN"/>
        </w:rPr>
        <w:t>供应商</w:t>
      </w:r>
      <w:r>
        <w:rPr>
          <w:rFonts w:hint="eastAsia" w:ascii="仿宋" w:hAnsi="仿宋" w:eastAsia="仿宋"/>
          <w:color w:val="auto"/>
          <w:sz w:val="24"/>
          <w:highlight w:val="none"/>
        </w:rPr>
        <w:t>名称（盖章）：</w:t>
      </w:r>
      <w:r>
        <w:rPr>
          <w:rFonts w:hint="eastAsia" w:ascii="仿宋" w:hAnsi="仿宋" w:eastAsia="仿宋"/>
          <w:color w:val="auto"/>
          <w:spacing w:val="20"/>
          <w:sz w:val="24"/>
          <w:highlight w:val="none"/>
          <w:u w:val="single"/>
        </w:rPr>
        <w:t xml:space="preserve">            </w:t>
      </w:r>
      <w:r>
        <w:rPr>
          <w:rFonts w:hint="eastAsia" w:ascii="仿宋" w:hAnsi="仿宋" w:eastAsia="仿宋"/>
          <w:color w:val="auto"/>
          <w:sz w:val="24"/>
          <w:highlight w:val="none"/>
        </w:rPr>
        <w:t xml:space="preserve">                         </w:t>
      </w:r>
    </w:p>
    <w:p>
      <w:pPr>
        <w:snapToGrid w:val="0"/>
        <w:spacing w:before="120" w:beforeLines="50" w:after="50"/>
        <w:rPr>
          <w:rFonts w:hint="eastAsia" w:ascii="仿宋" w:hAnsi="仿宋" w:eastAsia="仿宋"/>
          <w:b/>
          <w:color w:val="auto"/>
          <w:sz w:val="24"/>
          <w:highlight w:val="none"/>
        </w:rPr>
      </w:pPr>
      <w:r>
        <w:rPr>
          <w:rFonts w:hint="eastAsia" w:ascii="仿宋" w:hAnsi="仿宋" w:eastAsia="仿宋"/>
          <w:color w:val="auto"/>
          <w:sz w:val="24"/>
          <w:highlight w:val="none"/>
        </w:rPr>
        <w:t>日期：    年   月   日</w:t>
      </w:r>
    </w:p>
    <w:p>
      <w:pPr>
        <w:bidi w:val="0"/>
        <w:rPr>
          <w:rFonts w:hint="eastAsia" w:ascii="仿宋" w:hAnsi="仿宋" w:eastAsia="仿宋"/>
          <w:color w:val="auto"/>
          <w:highlight w:val="none"/>
        </w:rPr>
      </w:pPr>
    </w:p>
    <w:p>
      <w:pPr>
        <w:bidi w:val="0"/>
        <w:rPr>
          <w:rFonts w:hint="eastAsia" w:ascii="仿宋" w:hAnsi="仿宋" w:eastAsia="仿宋"/>
          <w:color w:val="auto"/>
          <w:highlight w:val="none"/>
        </w:rPr>
      </w:pPr>
    </w:p>
    <w:p>
      <w:pPr>
        <w:bidi w:val="0"/>
        <w:rPr>
          <w:rFonts w:hint="eastAsia"/>
          <w:color w:val="auto"/>
          <w:highlight w:val="none"/>
        </w:rPr>
      </w:pPr>
      <w:r>
        <w:rPr>
          <w:rFonts w:hint="eastAsia" w:ascii="仿宋" w:hAnsi="仿宋" w:eastAsia="仿宋"/>
          <w:color w:val="auto"/>
          <w:highlight w:val="none"/>
        </w:rPr>
        <w:br w:type="page"/>
      </w:r>
      <w:r>
        <w:rPr>
          <w:rFonts w:hint="eastAsia"/>
          <w:color w:val="auto"/>
          <w:highlight w:val="none"/>
        </w:rPr>
        <w:t>二、商务文件格式</w:t>
      </w:r>
      <w:bookmarkEnd w:id="66"/>
      <w:bookmarkEnd w:id="67"/>
      <w:bookmarkEnd w:id="68"/>
      <w:bookmarkEnd w:id="69"/>
      <w:bookmarkEnd w:id="70"/>
      <w:bookmarkEnd w:id="71"/>
      <w:bookmarkEnd w:id="72"/>
    </w:p>
    <w:p>
      <w:pPr>
        <w:bidi w:val="0"/>
        <w:rPr>
          <w:rFonts w:hint="eastAsia" w:ascii="仿宋" w:hAnsi="仿宋" w:eastAsia="仿宋"/>
          <w:b/>
          <w:color w:val="auto"/>
          <w:szCs w:val="21"/>
          <w:highlight w:val="none"/>
        </w:rPr>
      </w:pPr>
      <w:r>
        <w:rPr>
          <w:rFonts w:hint="eastAsia"/>
          <w:color w:val="auto"/>
          <w:highlight w:val="none"/>
        </w:rPr>
        <w:t xml:space="preserve">商务文件内封面格式： </w:t>
      </w:r>
    </w:p>
    <w:p>
      <w:pPr>
        <w:snapToGrid w:val="0"/>
        <w:spacing w:before="120" w:beforeLines="50" w:after="50"/>
        <w:ind w:firstLine="645"/>
        <w:jc w:val="center"/>
        <w:rPr>
          <w:rFonts w:hint="eastAsia" w:ascii="仿宋" w:hAnsi="仿宋" w:eastAsia="仿宋"/>
          <w:b/>
          <w:bCs/>
          <w:color w:val="auto"/>
          <w:sz w:val="52"/>
          <w:szCs w:val="52"/>
          <w:highlight w:val="none"/>
        </w:rPr>
      </w:pPr>
    </w:p>
    <w:p>
      <w:pPr>
        <w:snapToGrid w:val="0"/>
        <w:spacing w:before="120" w:beforeLines="50" w:after="50"/>
        <w:ind w:firstLine="645"/>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商务文件</w:t>
      </w:r>
    </w:p>
    <w:p>
      <w:pPr>
        <w:bidi w:val="0"/>
        <w:rPr>
          <w:rFonts w:hint="eastAsia"/>
          <w:color w:val="auto"/>
          <w:highlight w:val="none"/>
        </w:rPr>
      </w:pPr>
    </w:p>
    <w:p>
      <w:pPr>
        <w:bidi w:val="0"/>
        <w:ind w:left="1680" w:leftChars="200" w:hanging="1200" w:hangingChars="500"/>
        <w:rPr>
          <w:rFonts w:hint="eastAsia"/>
          <w:color w:val="auto"/>
          <w:highlight w:val="none"/>
        </w:rPr>
      </w:pPr>
      <w:r>
        <w:rPr>
          <w:rFonts w:hint="eastAsia"/>
          <w:color w:val="auto"/>
          <w:highlight w:val="none"/>
        </w:rPr>
        <w:t>项目名称：</w:t>
      </w:r>
      <w:r>
        <w:rPr>
          <w:rFonts w:hint="eastAsia"/>
          <w:color w:val="auto"/>
          <w:highlight w:val="none"/>
          <w:lang w:val="en-US" w:eastAsia="zh-CN"/>
        </w:rPr>
        <w:t>广西国际博览集团有限公司2019－2023年度重点群体退抵税补贴项目服务采购项目</w:t>
      </w:r>
    </w:p>
    <w:p>
      <w:pPr>
        <w:bidi w:val="0"/>
        <w:rPr>
          <w:rFonts w:hint="eastAsia"/>
          <w:color w:val="auto"/>
          <w:highlight w:val="none"/>
        </w:rPr>
      </w:pPr>
    </w:p>
    <w:p>
      <w:pPr>
        <w:bidi w:val="0"/>
        <w:rPr>
          <w:rFonts w:hint="eastAsia"/>
          <w:color w:val="auto"/>
          <w:highlight w:val="none"/>
        </w:rPr>
      </w:pPr>
      <w:r>
        <w:rPr>
          <w:rFonts w:hint="eastAsia"/>
          <w:color w:val="auto"/>
          <w:highlight w:val="none"/>
          <w:lang w:eastAsia="zh-CN"/>
        </w:rPr>
        <w:t>供应商</w:t>
      </w:r>
      <w:r>
        <w:rPr>
          <w:rFonts w:hint="eastAsia"/>
          <w:color w:val="auto"/>
          <w:highlight w:val="none"/>
        </w:rPr>
        <w:t>名称：</w:t>
      </w:r>
    </w:p>
    <w:p>
      <w:pPr>
        <w:bidi w:val="0"/>
        <w:rPr>
          <w:rFonts w:hint="eastAsia"/>
          <w:color w:val="auto"/>
          <w:highlight w:val="none"/>
        </w:rPr>
      </w:pPr>
    </w:p>
    <w:p>
      <w:pPr>
        <w:bidi w:val="0"/>
        <w:rPr>
          <w:rFonts w:hint="eastAsia"/>
          <w:color w:val="auto"/>
          <w:highlight w:val="none"/>
        </w:rPr>
      </w:pPr>
      <w:r>
        <w:rPr>
          <w:rFonts w:hint="eastAsia"/>
          <w:color w:val="auto"/>
          <w:highlight w:val="none"/>
        </w:rPr>
        <w:t>法定代表人或委托代理人签字：</w:t>
      </w:r>
    </w:p>
    <w:p>
      <w:pPr>
        <w:pStyle w:val="7"/>
        <w:snapToGrid w:val="0"/>
        <w:spacing w:before="50" w:after="50"/>
        <w:ind w:firstLine="960" w:firstLineChars="400"/>
        <w:rPr>
          <w:rFonts w:hint="eastAsia" w:ascii="仿宋" w:hAnsi="仿宋" w:eastAsia="仿宋"/>
          <w:bCs/>
          <w:color w:val="auto"/>
          <w:sz w:val="24"/>
          <w:szCs w:val="24"/>
          <w:highlight w:val="none"/>
        </w:rPr>
      </w:pPr>
    </w:p>
    <w:p>
      <w:pPr>
        <w:pStyle w:val="7"/>
        <w:snapToGrid w:val="0"/>
        <w:spacing w:before="50" w:after="50"/>
        <w:ind w:firstLine="960" w:firstLineChars="400"/>
        <w:rPr>
          <w:rFonts w:hint="eastAsia" w:ascii="仿宋" w:hAnsi="仿宋" w:eastAsia="仿宋"/>
          <w:bCs/>
          <w:color w:val="auto"/>
          <w:sz w:val="24"/>
          <w:szCs w:val="24"/>
          <w:highlight w:val="none"/>
        </w:rPr>
      </w:pPr>
    </w:p>
    <w:p>
      <w:pPr>
        <w:snapToGrid w:val="0"/>
        <w:spacing w:before="120" w:beforeLines="50" w:after="50"/>
        <w:ind w:firstLine="4080" w:firstLineChars="1700"/>
        <w:rPr>
          <w:rFonts w:hint="eastAsia" w:ascii="仿宋" w:hAnsi="仿宋" w:eastAsia="仿宋"/>
          <w:bCs/>
          <w:color w:val="auto"/>
          <w:sz w:val="24"/>
          <w:szCs w:val="20"/>
          <w:highlight w:val="none"/>
        </w:rPr>
      </w:pPr>
    </w:p>
    <w:p>
      <w:pPr>
        <w:bidi w:val="0"/>
        <w:ind w:firstLine="1504"/>
        <w:jc w:val="center"/>
        <w:rPr>
          <w:rFonts w:hint="eastAsia" w:ascii="Times New Roman" w:hAnsi="Times New Roman" w:eastAsia="宋体"/>
          <w:color w:val="auto"/>
          <w:highlight w:val="none"/>
        </w:rPr>
      </w:pPr>
      <w:r>
        <w:rPr>
          <w:rFonts w:hint="eastAsia" w:ascii="Times New Roman" w:hAnsi="Times New Roman" w:eastAsia="宋体"/>
          <w:color w:val="auto"/>
          <w:highlight w:val="none"/>
        </w:rPr>
        <w:t>年  月  日</w:t>
      </w:r>
    </w:p>
    <w:p>
      <w:pPr>
        <w:snapToGrid w:val="0"/>
        <w:spacing w:before="120" w:beforeLines="50" w:after="50"/>
        <w:rPr>
          <w:rFonts w:hint="eastAsia" w:ascii="仿宋" w:hAnsi="仿宋" w:eastAsia="仿宋"/>
          <w:bCs/>
          <w:color w:val="auto"/>
          <w:sz w:val="24"/>
          <w:highlight w:val="none"/>
        </w:rPr>
      </w:pPr>
    </w:p>
    <w:p>
      <w:pPr>
        <w:snapToGrid w:val="0"/>
        <w:spacing w:before="120" w:beforeLines="50" w:after="50"/>
        <w:ind w:left="0" w:leftChars="0" w:firstLine="0" w:firstLineChars="0"/>
        <w:jc w:val="left"/>
        <w:rPr>
          <w:rFonts w:hint="eastAsia" w:ascii="宋体" w:hAnsi="宋体" w:eastAsia="宋体" w:cs="宋体"/>
          <w:b/>
          <w:color w:val="auto"/>
          <w:sz w:val="24"/>
          <w:szCs w:val="24"/>
          <w:highlight w:val="none"/>
        </w:rPr>
      </w:pPr>
      <w:r>
        <w:rPr>
          <w:rFonts w:hint="eastAsia" w:ascii="仿宋" w:hAnsi="仿宋" w:eastAsia="仿宋"/>
          <w:bCs/>
          <w:color w:val="auto"/>
          <w:sz w:val="24"/>
          <w:highlight w:val="none"/>
        </w:rPr>
        <w:br w:type="page"/>
      </w:r>
      <w:r>
        <w:rPr>
          <w:rFonts w:hint="eastAsia" w:ascii="宋体" w:hAnsi="宋体" w:cs="宋体"/>
          <w:b/>
          <w:bCs w:val="0"/>
          <w:color w:val="auto"/>
          <w:sz w:val="24"/>
          <w:szCs w:val="24"/>
          <w:highlight w:val="none"/>
          <w:lang w:eastAsia="zh-CN"/>
        </w:rPr>
        <w:t>（</w:t>
      </w:r>
      <w:r>
        <w:rPr>
          <w:rFonts w:hint="eastAsia" w:ascii="宋体" w:hAnsi="宋体" w:cs="宋体"/>
          <w:b/>
          <w:bCs w:val="0"/>
          <w:color w:val="auto"/>
          <w:sz w:val="24"/>
          <w:szCs w:val="24"/>
          <w:highlight w:val="none"/>
          <w:lang w:val="en-US" w:eastAsia="zh-CN"/>
        </w:rPr>
        <w:t>1</w:t>
      </w:r>
      <w:r>
        <w:rPr>
          <w:rFonts w:hint="eastAsia" w:ascii="宋体" w:hAnsi="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竞</w:t>
      </w:r>
      <w:r>
        <w:rPr>
          <w:rFonts w:hint="eastAsia" w:ascii="宋体" w:hAnsi="宋体" w:eastAsia="宋体" w:cs="宋体"/>
          <w:b/>
          <w:bCs w:val="0"/>
          <w:color w:val="auto"/>
          <w:sz w:val="24"/>
          <w:szCs w:val="24"/>
          <w:highlight w:val="none"/>
        </w:rPr>
        <w:t>标声明书格式：</w:t>
      </w:r>
    </w:p>
    <w:p>
      <w:pPr>
        <w:spacing w:before="312" w:beforeLines="100" w:after="312" w:afterLines="100" w:line="400" w:lineRule="exact"/>
        <w:ind w:firstLine="1504"/>
        <w:jc w:val="center"/>
        <w:rPr>
          <w:rFonts w:hint="eastAsia" w:ascii="宋体" w:hAnsi="宋体" w:eastAsia="宋体" w:cs="Times New Roman"/>
          <w:b/>
          <w:color w:val="auto"/>
          <w:sz w:val="36"/>
          <w:szCs w:val="36"/>
          <w:highlight w:val="none"/>
        </w:rPr>
      </w:pPr>
      <w:r>
        <w:rPr>
          <w:rFonts w:hint="eastAsia" w:ascii="宋体" w:hAnsi="宋体" w:eastAsia="宋体" w:cs="Times New Roman"/>
          <w:b/>
          <w:color w:val="auto"/>
          <w:sz w:val="36"/>
          <w:szCs w:val="36"/>
          <w:highlight w:val="none"/>
          <w:lang w:val="en-US" w:eastAsia="zh-CN"/>
        </w:rPr>
        <w:t>竞</w:t>
      </w:r>
      <w:r>
        <w:rPr>
          <w:rFonts w:hint="eastAsia" w:ascii="宋体" w:hAnsi="宋体" w:eastAsia="宋体" w:cs="Times New Roman"/>
          <w:b/>
          <w:color w:val="auto"/>
          <w:sz w:val="36"/>
          <w:szCs w:val="36"/>
          <w:highlight w:val="none"/>
        </w:rPr>
        <w:t xml:space="preserve"> 标 声 明 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val="en-US" w:eastAsia="zh-CN"/>
        </w:rPr>
        <w:t>广西国际博览集团有限</w:t>
      </w:r>
      <w:r>
        <w:rPr>
          <w:rFonts w:hint="eastAsia" w:ascii="宋体" w:hAnsi="宋体" w:eastAsia="宋体" w:cs="宋体"/>
          <w:color w:val="auto"/>
          <w:sz w:val="24"/>
          <w:szCs w:val="24"/>
          <w:highlight w:val="none"/>
          <w:lang w:eastAsia="zh-CN"/>
        </w:rPr>
        <w:t>公司</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名称）系中华人民共和国合法企业，经营地址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名称）的法定代表人，我方愿意参加贵方组织的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项目的投标，为便于贵方公正、择优地确定中标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及其投标产品和服务，我方就本次投标有关事项郑重声明如下：</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我方向贵方提交的所有</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、资料都是准确的和真实的</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我方不是采购人的附属机构；在获知本项目采购信息后，与采购人聘请的为此项目提供咨询服务的公司及其附属机构没有任何联系</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我方此次向贵方提供的产品（服务）名称为：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我方诚意提请贵方关注：近期有关该型号产品的生产、供货、售后服务以及性能等方面的重大决策和事项有：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w:t>
      </w:r>
    </w:p>
    <w:p>
      <w:pPr>
        <w:pStyle w:val="18"/>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我方及由本人担任法定代表人的其他机构最近三年内被通报或者被处罚的违法行为有：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以上事项如有虚假或隐瞒，我方愿意承担一切后果，并不再寻求任何旨在减轻或免除法律责任的辩解。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pPr>
        <w:snapToGrid w:val="0"/>
        <w:spacing w:before="50" w:after="120" w:afterLines="50" w:line="360" w:lineRule="auto"/>
        <w:ind w:left="0" w:leftChars="0" w:firstLine="0" w:firstLineChars="0"/>
        <w:jc w:val="left"/>
        <w:rPr>
          <w:rFonts w:hint="eastAsia" w:ascii="宋体" w:hAnsi="宋体" w:eastAsia="宋体" w:cs="宋体"/>
          <w:b/>
          <w:color w:val="auto"/>
          <w:sz w:val="24"/>
          <w:szCs w:val="24"/>
          <w:highlight w:val="none"/>
        </w:rPr>
      </w:pPr>
      <w:r>
        <w:rPr>
          <w:rFonts w:hint="eastAsia" w:ascii="仿宋" w:hAnsi="仿宋" w:eastAsia="仿宋"/>
          <w:b/>
          <w:color w:val="auto"/>
          <w:sz w:val="24"/>
          <w:highlight w:val="none"/>
        </w:rPr>
        <w:br w:type="page"/>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rPr>
        <w:t>法定代表人身份证明原件和有效的法定代表人身份证正反面复印件</w:t>
      </w:r>
    </w:p>
    <w:p>
      <w:pPr>
        <w:snapToGrid w:val="0"/>
        <w:spacing w:before="120" w:beforeLines="50" w:after="50"/>
        <w:jc w:val="lef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法定代表人身份证明格式</w:t>
      </w:r>
      <w:r>
        <w:rPr>
          <w:rFonts w:hint="eastAsia" w:ascii="宋体" w:hAnsi="宋体" w:eastAsia="宋体" w:cs="宋体"/>
          <w:b/>
          <w:color w:val="auto"/>
          <w:sz w:val="24"/>
          <w:szCs w:val="24"/>
          <w:highlight w:val="none"/>
          <w:lang w:eastAsia="zh-CN"/>
        </w:rPr>
        <w:t>：</w:t>
      </w:r>
    </w:p>
    <w:p>
      <w:pPr>
        <w:spacing w:before="240" w:beforeLines="100" w:after="120" w:afterLines="50"/>
        <w:ind w:left="540"/>
        <w:jc w:val="center"/>
        <w:rPr>
          <w:rFonts w:hint="eastAsia" w:ascii="宋体" w:hAnsi="宋体" w:eastAsia="宋体" w:cs="宋体"/>
          <w:b/>
          <w:color w:val="auto"/>
          <w:sz w:val="24"/>
          <w:szCs w:val="24"/>
          <w:highlight w:val="none"/>
        </w:rPr>
      </w:pPr>
    </w:p>
    <w:p>
      <w:pPr>
        <w:spacing w:before="312" w:beforeLines="100" w:after="312" w:afterLines="100" w:line="400" w:lineRule="exact"/>
        <w:ind w:firstLine="1504"/>
        <w:jc w:val="center"/>
        <w:rPr>
          <w:rFonts w:hint="eastAsia" w:ascii="宋体" w:hAnsi="宋体" w:eastAsia="宋体" w:cs="Times New Roman"/>
          <w:b/>
          <w:color w:val="auto"/>
          <w:sz w:val="36"/>
          <w:szCs w:val="36"/>
          <w:highlight w:val="none"/>
          <w:lang w:val="en-US" w:eastAsia="zh-CN"/>
        </w:rPr>
      </w:pPr>
      <w:r>
        <w:rPr>
          <w:rFonts w:hint="eastAsia" w:ascii="宋体" w:hAnsi="宋体" w:eastAsia="宋体" w:cs="Times New Roman"/>
          <w:b/>
          <w:color w:val="auto"/>
          <w:sz w:val="36"/>
          <w:szCs w:val="36"/>
          <w:highlight w:val="none"/>
          <w:lang w:val="en-US" w:eastAsia="zh-CN"/>
        </w:rPr>
        <w:t>法定代表人身份证明</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 标 人：</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      别：</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（竞标人名称）的法定代表人。</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附件：法定代表人有效身份证正反面复印件</w:t>
      </w:r>
    </w:p>
    <w:p>
      <w:pPr>
        <w:spacing w:line="500" w:lineRule="exact"/>
        <w:ind w:left="540"/>
        <w:rPr>
          <w:rFonts w:hint="eastAsia" w:ascii="宋体" w:hAnsi="宋体" w:eastAsia="宋体" w:cs="宋体"/>
          <w:color w:val="auto"/>
          <w:sz w:val="24"/>
          <w:szCs w:val="24"/>
          <w:highlight w:val="none"/>
        </w:rPr>
      </w:pPr>
    </w:p>
    <w:p>
      <w:pPr>
        <w:pStyle w:val="17"/>
        <w:rPr>
          <w:rFonts w:hint="eastAsia"/>
          <w:color w:val="auto"/>
          <w:highlight w:val="none"/>
        </w:rPr>
      </w:pPr>
    </w:p>
    <w:p>
      <w:pPr>
        <w:rPr>
          <w:rFonts w:hint="eastAsia"/>
          <w:color w:val="auto"/>
          <w:highlight w:val="none"/>
        </w:rPr>
      </w:pPr>
    </w:p>
    <w:p>
      <w:pPr>
        <w:pStyle w:val="156"/>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Ansi="宋体" w:eastAsia="宋体"/>
          <w:color w:val="auto"/>
          <w:sz w:val="24"/>
          <w:szCs w:val="24"/>
          <w:highlight w:val="none"/>
          <w:u w:val="single"/>
        </w:rPr>
      </w:pPr>
      <w:r>
        <w:rPr>
          <w:rFonts w:hint="eastAsia" w:hAnsi="宋体" w:eastAsia="宋体"/>
          <w:color w:val="auto"/>
          <w:sz w:val="24"/>
          <w:szCs w:val="24"/>
          <w:highlight w:val="none"/>
          <w:lang w:eastAsia="zh-CN"/>
        </w:rPr>
        <w:t>供应商</w:t>
      </w:r>
      <w:r>
        <w:rPr>
          <w:rFonts w:hint="eastAsia" w:hAnsi="宋体" w:eastAsia="宋体"/>
          <w:color w:val="auto"/>
          <w:sz w:val="24"/>
          <w:szCs w:val="24"/>
          <w:highlight w:val="none"/>
        </w:rPr>
        <w:t>（盖单位公章）：</w:t>
      </w:r>
      <w:r>
        <w:rPr>
          <w:rFonts w:hint="eastAsia" w:hAnsi="宋体" w:eastAsia="宋体"/>
          <w:color w:val="auto"/>
          <w:sz w:val="24"/>
          <w:szCs w:val="24"/>
          <w:highlight w:val="none"/>
          <w:u w:val="single"/>
        </w:rPr>
        <w:t xml:space="preserve">                              </w:t>
      </w:r>
    </w:p>
    <w:p>
      <w:pPr>
        <w:pStyle w:val="156"/>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Ansi="宋体" w:eastAsia="宋体"/>
          <w:color w:val="auto"/>
          <w:sz w:val="24"/>
          <w:szCs w:val="24"/>
          <w:highlight w:val="none"/>
          <w:u w:val="single"/>
        </w:rPr>
      </w:pPr>
      <w:r>
        <w:rPr>
          <w:rFonts w:hint="eastAsia" w:hAnsi="宋体" w:eastAsia="宋体"/>
          <w:color w:val="auto"/>
          <w:sz w:val="24"/>
          <w:szCs w:val="24"/>
          <w:highlight w:val="none"/>
        </w:rPr>
        <w:t>法定代表人或其委托代理人（签字或盖章）：</w:t>
      </w:r>
      <w:r>
        <w:rPr>
          <w:rFonts w:hint="eastAsia" w:hAnsi="宋体" w:eastAsia="宋体"/>
          <w:color w:val="auto"/>
          <w:sz w:val="24"/>
          <w:szCs w:val="24"/>
          <w:highlight w:val="none"/>
          <w:u w:val="single"/>
        </w:rPr>
        <w:t xml:space="preserve">            </w:t>
      </w:r>
    </w:p>
    <w:p>
      <w:pPr>
        <w:pStyle w:val="156"/>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Ansi="宋体" w:eastAsia="宋体"/>
          <w:color w:val="auto"/>
          <w:sz w:val="24"/>
          <w:szCs w:val="24"/>
          <w:highlight w:val="none"/>
          <w:u w:val="single"/>
        </w:rPr>
      </w:pPr>
      <w:r>
        <w:rPr>
          <w:rFonts w:hint="eastAsia" w:hAnsi="宋体" w:eastAsia="宋体"/>
          <w:color w:val="auto"/>
          <w:sz w:val="24"/>
          <w:szCs w:val="24"/>
          <w:highlight w:val="none"/>
        </w:rPr>
        <w:t>日期：</w:t>
      </w:r>
      <w:r>
        <w:rPr>
          <w:rFonts w:hint="eastAsia" w:hAnsi="宋体" w:eastAsia="宋体"/>
          <w:color w:val="auto"/>
          <w:sz w:val="24"/>
          <w:szCs w:val="24"/>
          <w:highlight w:val="none"/>
          <w:u w:val="single"/>
        </w:rPr>
        <w:t xml:space="preserve">            </w:t>
      </w:r>
    </w:p>
    <w:p>
      <w:pPr>
        <w:snapToGrid w:val="0"/>
        <w:spacing w:before="120" w:beforeLines="50" w:after="50"/>
        <w:jc w:val="right"/>
        <w:rPr>
          <w:rFonts w:hint="eastAsia" w:ascii="宋体" w:hAnsi="宋体" w:eastAsia="宋体" w:cs="宋体"/>
          <w:color w:val="auto"/>
          <w:sz w:val="24"/>
          <w:szCs w:val="24"/>
          <w:highlight w:val="none"/>
        </w:rPr>
      </w:pPr>
    </w:p>
    <w:p>
      <w:pPr>
        <w:snapToGrid w:val="0"/>
        <w:spacing w:before="50" w:after="120" w:afterLines="50" w:line="360" w:lineRule="auto"/>
        <w:jc w:val="left"/>
        <w:rPr>
          <w:rFonts w:hint="eastAsia" w:ascii="宋体" w:hAnsi="宋体" w:eastAsia="宋体" w:cs="宋体"/>
          <w:b/>
          <w:color w:val="auto"/>
          <w:sz w:val="24"/>
          <w:szCs w:val="24"/>
          <w:highlight w:val="none"/>
        </w:rPr>
      </w:pPr>
    </w:p>
    <w:p>
      <w:pPr>
        <w:snapToGrid w:val="0"/>
        <w:spacing w:before="50" w:after="120" w:afterLines="50" w:line="360" w:lineRule="auto"/>
        <w:jc w:val="left"/>
        <w:rPr>
          <w:rFonts w:hint="eastAsia" w:ascii="宋体" w:hAnsi="宋体" w:eastAsia="宋体" w:cs="宋体"/>
          <w:b/>
          <w:color w:val="auto"/>
          <w:sz w:val="24"/>
          <w:szCs w:val="24"/>
          <w:highlight w:val="none"/>
        </w:rPr>
      </w:pPr>
    </w:p>
    <w:p>
      <w:pPr>
        <w:snapToGrid w:val="0"/>
        <w:spacing w:before="50" w:after="120" w:afterLines="50" w:line="360" w:lineRule="auto"/>
        <w:ind w:left="0" w:leftChars="0" w:firstLine="0" w:firstLineChars="0"/>
        <w:jc w:val="left"/>
        <w:rPr>
          <w:rFonts w:hint="eastAsia" w:ascii="宋体" w:hAnsi="宋体" w:eastAsia="宋体" w:cs="宋体"/>
          <w:color w:val="auto"/>
          <w:sz w:val="24"/>
          <w:szCs w:val="24"/>
          <w:highlight w:val="none"/>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rPr>
        <w:t>法定代表人授权委托书格式（委托代理时提供）：</w:t>
      </w:r>
    </w:p>
    <w:p>
      <w:pPr>
        <w:spacing w:before="312" w:beforeLines="100" w:after="312" w:afterLines="100" w:line="400" w:lineRule="exact"/>
        <w:ind w:firstLine="1504"/>
        <w:jc w:val="center"/>
        <w:rPr>
          <w:rFonts w:hint="eastAsia" w:ascii="宋体" w:hAnsi="宋体" w:eastAsia="宋体" w:cs="Times New Roman"/>
          <w:b/>
          <w:color w:val="auto"/>
          <w:sz w:val="36"/>
          <w:szCs w:val="36"/>
          <w:highlight w:val="none"/>
          <w:lang w:val="en-US" w:eastAsia="zh-CN"/>
        </w:rPr>
      </w:pPr>
      <w:r>
        <w:rPr>
          <w:rFonts w:hint="eastAsia" w:ascii="宋体" w:hAnsi="宋体" w:eastAsia="宋体" w:cs="Times New Roman"/>
          <w:b/>
          <w:color w:val="auto"/>
          <w:sz w:val="36"/>
          <w:szCs w:val="36"/>
          <w:highlight w:val="none"/>
          <w:lang w:val="en-US" w:eastAsia="zh-CN"/>
        </w:rPr>
        <w:t>法定代表人授权委托书</w:t>
      </w:r>
    </w:p>
    <w:p>
      <w:pPr>
        <w:snapToGrid w:val="0"/>
        <w:spacing w:before="120" w:beforeLines="50" w:after="50" w:line="360" w:lineRule="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致：</w:t>
      </w:r>
      <w:r>
        <w:rPr>
          <w:rFonts w:hint="eastAsia" w:ascii="宋体" w:hAnsi="宋体" w:eastAsia="宋体" w:cs="宋体"/>
          <w:color w:val="auto"/>
          <w:sz w:val="24"/>
          <w:szCs w:val="24"/>
          <w:highlight w:val="none"/>
          <w:lang w:val="en-US" w:eastAsia="zh-CN"/>
        </w:rPr>
        <w:t>广西国际博览集团有限</w:t>
      </w:r>
      <w:r>
        <w:rPr>
          <w:rFonts w:hint="eastAsia" w:ascii="宋体" w:hAnsi="宋体" w:eastAsia="宋体" w:cs="宋体"/>
          <w:color w:val="auto"/>
          <w:sz w:val="24"/>
          <w:szCs w:val="24"/>
          <w:highlight w:val="none"/>
          <w:lang w:eastAsia="zh-CN"/>
        </w:rPr>
        <w:t>公司</w:t>
      </w:r>
      <w:r>
        <w:rPr>
          <w:rFonts w:hint="eastAsia" w:ascii="宋体" w:hAnsi="宋体" w:eastAsia="宋体" w:cs="宋体"/>
          <w:color w:val="auto"/>
          <w:sz w:val="24"/>
          <w:szCs w:val="24"/>
          <w:highlight w:val="none"/>
        </w:rPr>
        <w:t>：</w:t>
      </w:r>
    </w:p>
    <w:p>
      <w:pPr>
        <w:snapToGrid w:val="0"/>
        <w:spacing w:before="120" w:beforeLines="50" w:after="50"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名称）的法定代表人，现授权委托本单位在职职工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（姓名）以我方的名义参加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项目的投标活动，并代表我方全权办理针对上述项目的投标、开标、评标、签约等具体事务和签署相关文件。</w:t>
      </w:r>
    </w:p>
    <w:p>
      <w:pPr>
        <w:snapToGrid w:val="0"/>
        <w:spacing w:before="120" w:beforeLines="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我方对被授权人的签字事项负全部责任。</w:t>
      </w:r>
    </w:p>
    <w:p>
      <w:pPr>
        <w:snapToGrid w:val="0"/>
        <w:spacing w:before="120" w:beforeLines="50" w:after="5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在撤销授权的书面通知以前，本授权书一直有效。</w:t>
      </w:r>
      <w:r>
        <w:rPr>
          <w:rFonts w:hint="eastAsia" w:ascii="宋体" w:hAnsi="宋体" w:eastAsia="宋体" w:cs="宋体"/>
          <w:color w:val="auto"/>
          <w:sz w:val="24"/>
          <w:szCs w:val="24"/>
          <w:highlight w:val="none"/>
        </w:rPr>
        <w:t>被授权人在授权书有效期内签署的所有文件不因授权的撤销而失效。</w:t>
      </w:r>
    </w:p>
    <w:p>
      <w:pPr>
        <w:snapToGrid w:val="0"/>
        <w:spacing w:before="120" w:beforeLines="50" w:after="5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被授权人无转委托权，特此委托。</w:t>
      </w:r>
    </w:p>
    <w:p>
      <w:pPr>
        <w:snapToGrid w:val="0"/>
        <w:spacing w:before="120" w:beforeLines="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napToGrid w:val="0"/>
        <w:spacing w:before="120" w:beforeLines="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u w:val="single"/>
        </w:rPr>
        <w:t xml:space="preserve">              </w:t>
      </w:r>
    </w:p>
    <w:p>
      <w:pPr>
        <w:snapToGrid w:val="0"/>
        <w:spacing w:before="120" w:beforeLines="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所在部门职务：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  务：</w:t>
      </w:r>
      <w:r>
        <w:rPr>
          <w:rFonts w:hint="eastAsia" w:ascii="宋体" w:hAnsi="宋体" w:eastAsia="宋体" w:cs="宋体"/>
          <w:color w:val="auto"/>
          <w:sz w:val="24"/>
          <w:szCs w:val="24"/>
          <w:highlight w:val="none"/>
          <w:u w:val="single"/>
        </w:rPr>
        <w:t xml:space="preserve">              </w:t>
      </w:r>
    </w:p>
    <w:p>
      <w:pPr>
        <w:snapToGrid w:val="0"/>
        <w:spacing w:before="120" w:beforeLines="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napToGrid w:val="0"/>
        <w:spacing w:after="120" w:afterLines="50"/>
        <w:jc w:val="left"/>
        <w:rPr>
          <w:rFonts w:hint="eastAsia" w:ascii="宋体" w:hAnsi="宋体" w:eastAsia="宋体" w:cs="宋体"/>
          <w:b/>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授权委托</w:t>
      </w:r>
      <w:r>
        <w:rPr>
          <w:rFonts w:hint="eastAsia" w:ascii="宋体" w:hAnsi="宋体" w:eastAsia="宋体" w:cs="宋体"/>
          <w:color w:val="auto"/>
          <w:sz w:val="24"/>
          <w:szCs w:val="24"/>
          <w:highlight w:val="none"/>
        </w:rPr>
        <w:t>人有效身份证正反面复印件</w:t>
      </w:r>
    </w:p>
    <w:p>
      <w:pPr>
        <w:pStyle w:val="45"/>
        <w:rPr>
          <w:rFonts w:hint="eastAsia" w:ascii="宋体" w:hAnsi="宋体" w:eastAsia="宋体" w:cs="宋体"/>
          <w:b/>
          <w:color w:val="auto"/>
          <w:sz w:val="24"/>
          <w:szCs w:val="24"/>
          <w:highlight w:val="none"/>
        </w:rPr>
      </w:pPr>
    </w:p>
    <w:p>
      <w:pPr>
        <w:rPr>
          <w:rFonts w:hint="eastAsia"/>
          <w:color w:val="auto"/>
          <w:highlight w:val="none"/>
        </w:rPr>
      </w:pPr>
    </w:p>
    <w:p>
      <w:pPr>
        <w:pStyle w:val="156"/>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Ansi="宋体" w:eastAsia="宋体"/>
          <w:color w:val="auto"/>
          <w:sz w:val="24"/>
          <w:szCs w:val="24"/>
          <w:highlight w:val="none"/>
          <w:u w:val="single"/>
        </w:rPr>
      </w:pPr>
      <w:r>
        <w:rPr>
          <w:rFonts w:hint="eastAsia" w:hAnsi="宋体" w:eastAsia="宋体"/>
          <w:color w:val="auto"/>
          <w:sz w:val="24"/>
          <w:szCs w:val="24"/>
          <w:highlight w:val="none"/>
          <w:lang w:eastAsia="zh-CN"/>
        </w:rPr>
        <w:t>供应商</w:t>
      </w:r>
      <w:r>
        <w:rPr>
          <w:rFonts w:hint="eastAsia" w:hAnsi="宋体" w:eastAsia="宋体"/>
          <w:color w:val="auto"/>
          <w:sz w:val="24"/>
          <w:szCs w:val="24"/>
          <w:highlight w:val="none"/>
        </w:rPr>
        <w:t>（盖单位公章）：</w:t>
      </w:r>
      <w:r>
        <w:rPr>
          <w:rFonts w:hint="eastAsia" w:hAnsi="宋体" w:eastAsia="宋体"/>
          <w:color w:val="auto"/>
          <w:sz w:val="24"/>
          <w:szCs w:val="24"/>
          <w:highlight w:val="none"/>
          <w:u w:val="single"/>
        </w:rPr>
        <w:t xml:space="preserve">                              </w:t>
      </w:r>
    </w:p>
    <w:p>
      <w:pPr>
        <w:pStyle w:val="156"/>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Ansi="宋体" w:eastAsia="宋体"/>
          <w:color w:val="auto"/>
          <w:sz w:val="24"/>
          <w:szCs w:val="24"/>
          <w:highlight w:val="none"/>
          <w:u w:val="single"/>
        </w:rPr>
      </w:pPr>
      <w:r>
        <w:rPr>
          <w:rFonts w:hint="eastAsia" w:hAnsi="宋体" w:eastAsia="宋体"/>
          <w:color w:val="auto"/>
          <w:sz w:val="24"/>
          <w:szCs w:val="24"/>
          <w:highlight w:val="none"/>
        </w:rPr>
        <w:t>法定代表人或其委托代理人（签字或盖章）：</w:t>
      </w:r>
      <w:r>
        <w:rPr>
          <w:rFonts w:hint="eastAsia" w:hAnsi="宋体" w:eastAsia="宋体"/>
          <w:color w:val="auto"/>
          <w:sz w:val="24"/>
          <w:szCs w:val="24"/>
          <w:highlight w:val="none"/>
          <w:u w:val="single"/>
        </w:rPr>
        <w:t xml:space="preserve">            </w:t>
      </w:r>
    </w:p>
    <w:p>
      <w:pPr>
        <w:pStyle w:val="156"/>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Ansi="宋体" w:eastAsia="宋体"/>
          <w:color w:val="auto"/>
          <w:sz w:val="24"/>
          <w:szCs w:val="24"/>
          <w:highlight w:val="none"/>
          <w:u w:val="single"/>
        </w:rPr>
      </w:pPr>
      <w:r>
        <w:rPr>
          <w:rFonts w:hint="eastAsia" w:hAnsi="宋体" w:eastAsia="宋体"/>
          <w:color w:val="auto"/>
          <w:sz w:val="24"/>
          <w:szCs w:val="24"/>
          <w:highlight w:val="none"/>
        </w:rPr>
        <w:t>日期：</w:t>
      </w:r>
      <w:r>
        <w:rPr>
          <w:rFonts w:hint="eastAsia" w:hAnsi="宋体" w:eastAsia="宋体"/>
          <w:color w:val="auto"/>
          <w:sz w:val="24"/>
          <w:szCs w:val="24"/>
          <w:highlight w:val="none"/>
          <w:u w:val="single"/>
        </w:rPr>
        <w:t xml:space="preserve">            </w:t>
      </w:r>
    </w:p>
    <w:p>
      <w:pPr>
        <w:pStyle w:val="45"/>
        <w:ind w:left="0" w:leftChars="0" w:firstLine="0" w:firstLineChars="0"/>
        <w:rPr>
          <w:rFonts w:hint="eastAsia"/>
          <w:color w:val="auto"/>
          <w:highlight w:val="none"/>
        </w:rPr>
      </w:pPr>
    </w:p>
    <w:p>
      <w:pPr>
        <w:snapToGrid w:val="0"/>
        <w:jc w:val="left"/>
        <w:rPr>
          <w:rFonts w:hint="eastAsia" w:ascii="宋体" w:hAnsi="宋体" w:eastAsia="宋体" w:cs="宋体"/>
          <w:b/>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ind w:left="0" w:leftChars="0" w:firstLine="0" w:firstLineChars="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4</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商务响应表格式：</w:t>
      </w:r>
    </w:p>
    <w:p>
      <w:pPr>
        <w:spacing w:before="312" w:beforeLines="100" w:after="312" w:afterLines="100" w:line="400" w:lineRule="exact"/>
        <w:ind w:firstLine="1504"/>
        <w:jc w:val="center"/>
        <w:rPr>
          <w:rFonts w:hint="default"/>
          <w:color w:val="auto"/>
          <w:highlight w:val="none"/>
          <w:lang w:val="en-US"/>
        </w:rPr>
      </w:pPr>
      <w:r>
        <w:rPr>
          <w:rFonts w:hint="eastAsia" w:ascii="宋体" w:hAnsi="宋体" w:eastAsia="宋体" w:cs="Times New Roman"/>
          <w:b/>
          <w:color w:val="auto"/>
          <w:sz w:val="36"/>
          <w:szCs w:val="36"/>
          <w:highlight w:val="none"/>
          <w:lang w:val="en-US" w:eastAsia="zh-CN"/>
        </w:rPr>
        <w:t>商务响应表</w:t>
      </w: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3"/>
        <w:gridCol w:w="2977"/>
        <w:gridCol w:w="1368"/>
        <w:gridCol w:w="24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2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招标文件要求</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是否响应</w:t>
            </w:r>
          </w:p>
        </w:tc>
        <w:tc>
          <w:tcPr>
            <w:tcW w:w="2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2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eastAsia" w:ascii="宋体" w:hAnsi="宋体" w:eastAsia="宋体" w:cs="宋体"/>
                <w:color w:val="auto"/>
                <w:sz w:val="24"/>
                <w:szCs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eastAsia" w:ascii="宋体" w:hAnsi="宋体" w:eastAsia="宋体" w:cs="宋体"/>
                <w:color w:val="auto"/>
                <w:sz w:val="24"/>
                <w:szCs w:val="24"/>
                <w:highlight w:val="none"/>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eastAsia" w:ascii="宋体" w:hAnsi="宋体" w:eastAsia="宋体" w:cs="宋体"/>
                <w:color w:val="auto"/>
                <w:sz w:val="24"/>
                <w:szCs w:val="24"/>
                <w:highlight w:val="none"/>
              </w:rPr>
            </w:pPr>
          </w:p>
        </w:tc>
        <w:tc>
          <w:tcPr>
            <w:tcW w:w="2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2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eastAsia" w:ascii="宋体" w:hAnsi="宋体" w:eastAsia="宋体" w:cs="宋体"/>
                <w:color w:val="auto"/>
                <w:sz w:val="24"/>
                <w:szCs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eastAsia" w:ascii="宋体" w:hAnsi="宋体" w:eastAsia="宋体" w:cs="宋体"/>
                <w:color w:val="auto"/>
                <w:sz w:val="24"/>
                <w:szCs w:val="24"/>
                <w:highlight w:val="none"/>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eastAsia" w:ascii="宋体" w:hAnsi="宋体" w:eastAsia="宋体" w:cs="宋体"/>
                <w:color w:val="auto"/>
                <w:sz w:val="24"/>
                <w:szCs w:val="24"/>
                <w:highlight w:val="none"/>
              </w:rPr>
            </w:pPr>
          </w:p>
        </w:tc>
        <w:tc>
          <w:tcPr>
            <w:tcW w:w="2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eastAsia" w:ascii="宋体" w:hAnsi="宋体" w:eastAsia="宋体" w:cs="宋体"/>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注：对照招标文件中</w:t>
      </w:r>
      <w:r>
        <w:rPr>
          <w:rFonts w:hint="eastAsia" w:ascii="宋体" w:hAnsi="宋体" w:cs="宋体"/>
          <w:color w:val="auto"/>
          <w:sz w:val="24"/>
          <w:szCs w:val="24"/>
          <w:highlight w:val="none"/>
          <w:lang w:eastAsia="zh-CN"/>
        </w:rPr>
        <w:t>的要求</w:t>
      </w:r>
      <w:r>
        <w:rPr>
          <w:rFonts w:hint="eastAsia" w:ascii="宋体" w:hAnsi="宋体" w:eastAsia="宋体" w:cs="宋体"/>
          <w:color w:val="auto"/>
          <w:sz w:val="24"/>
          <w:szCs w:val="24"/>
          <w:highlight w:val="none"/>
        </w:rPr>
        <w:t>逐条响应并在“偏离情况”栏注明“正偏离”、“负偏离”或“响应”。</w:t>
      </w:r>
    </w:p>
    <w:p>
      <w:pPr>
        <w:pStyle w:val="17"/>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7"/>
        <w:rPr>
          <w:rFonts w:hint="eastAsia"/>
          <w:color w:val="auto"/>
          <w:highlight w:val="none"/>
        </w:rPr>
      </w:pPr>
    </w:p>
    <w:p>
      <w:pPr>
        <w:pStyle w:val="156"/>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Ansi="宋体" w:eastAsia="宋体"/>
          <w:color w:val="auto"/>
          <w:sz w:val="24"/>
          <w:szCs w:val="24"/>
          <w:highlight w:val="none"/>
          <w:u w:val="single"/>
        </w:rPr>
      </w:pPr>
      <w:r>
        <w:rPr>
          <w:rFonts w:hint="eastAsia" w:hAnsi="宋体" w:eastAsia="宋体"/>
          <w:color w:val="auto"/>
          <w:sz w:val="24"/>
          <w:szCs w:val="24"/>
          <w:highlight w:val="none"/>
          <w:lang w:eastAsia="zh-CN"/>
        </w:rPr>
        <w:t>供应商</w:t>
      </w:r>
      <w:r>
        <w:rPr>
          <w:rFonts w:hint="eastAsia" w:hAnsi="宋体" w:eastAsia="宋体"/>
          <w:color w:val="auto"/>
          <w:sz w:val="24"/>
          <w:szCs w:val="24"/>
          <w:highlight w:val="none"/>
        </w:rPr>
        <w:t>（盖单位公章）：</w:t>
      </w:r>
      <w:r>
        <w:rPr>
          <w:rFonts w:hint="eastAsia" w:hAnsi="宋体" w:eastAsia="宋体"/>
          <w:color w:val="auto"/>
          <w:sz w:val="24"/>
          <w:szCs w:val="24"/>
          <w:highlight w:val="none"/>
          <w:u w:val="single"/>
        </w:rPr>
        <w:t xml:space="preserve">                              </w:t>
      </w:r>
    </w:p>
    <w:p>
      <w:pPr>
        <w:pStyle w:val="156"/>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Ansi="宋体" w:eastAsia="宋体"/>
          <w:color w:val="auto"/>
          <w:sz w:val="24"/>
          <w:szCs w:val="24"/>
          <w:highlight w:val="none"/>
          <w:u w:val="single"/>
        </w:rPr>
      </w:pPr>
      <w:r>
        <w:rPr>
          <w:rFonts w:hint="eastAsia" w:hAnsi="宋体" w:eastAsia="宋体"/>
          <w:color w:val="auto"/>
          <w:sz w:val="24"/>
          <w:szCs w:val="24"/>
          <w:highlight w:val="none"/>
        </w:rPr>
        <w:t>法定代表人或其委托代理人（签字或盖章）：</w:t>
      </w:r>
      <w:r>
        <w:rPr>
          <w:rFonts w:hint="eastAsia" w:hAnsi="宋体" w:eastAsia="宋体"/>
          <w:color w:val="auto"/>
          <w:sz w:val="24"/>
          <w:szCs w:val="24"/>
          <w:highlight w:val="none"/>
          <w:u w:val="single"/>
        </w:rPr>
        <w:t xml:space="preserve">            </w:t>
      </w:r>
    </w:p>
    <w:p>
      <w:pPr>
        <w:pStyle w:val="156"/>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Ansi="宋体" w:eastAsia="宋体"/>
          <w:color w:val="auto"/>
          <w:sz w:val="24"/>
          <w:szCs w:val="24"/>
          <w:highlight w:val="none"/>
          <w:u w:val="single"/>
        </w:rPr>
      </w:pPr>
      <w:r>
        <w:rPr>
          <w:rFonts w:hint="eastAsia" w:hAnsi="宋体" w:eastAsia="宋体"/>
          <w:color w:val="auto"/>
          <w:sz w:val="24"/>
          <w:szCs w:val="24"/>
          <w:highlight w:val="none"/>
        </w:rPr>
        <w:t>日期：</w:t>
      </w:r>
      <w:r>
        <w:rPr>
          <w:rFonts w:hint="eastAsia" w:hAnsi="宋体" w:eastAsia="宋体"/>
          <w:color w:val="auto"/>
          <w:sz w:val="24"/>
          <w:szCs w:val="24"/>
          <w:highlight w:val="none"/>
          <w:u w:val="single"/>
        </w:rPr>
        <w:t xml:space="preserve">            </w:t>
      </w:r>
    </w:p>
    <w:p>
      <w:pPr>
        <w:snapToGrid w:val="0"/>
        <w:spacing w:before="50" w:after="120" w:afterLines="50" w:line="360" w:lineRule="auto"/>
        <w:jc w:val="left"/>
        <w:rPr>
          <w:rFonts w:hint="eastAsia" w:ascii="宋体" w:hAnsi="宋体" w:eastAsia="宋体" w:cs="宋体"/>
          <w:color w:val="auto"/>
          <w:sz w:val="24"/>
          <w:szCs w:val="24"/>
          <w:highlight w:val="none"/>
        </w:rPr>
      </w:pPr>
    </w:p>
    <w:p>
      <w:pPr>
        <w:pStyle w:val="17"/>
        <w:rPr>
          <w:rFonts w:hint="eastAsia"/>
          <w:color w:val="auto"/>
          <w:highlight w:val="none"/>
        </w:rPr>
        <w:sectPr>
          <w:footerReference r:id="rId9" w:type="first"/>
          <w:headerReference r:id="rId5" w:type="default"/>
          <w:footerReference r:id="rId7" w:type="default"/>
          <w:headerReference r:id="rId6" w:type="even"/>
          <w:footerReference r:id="rId8" w:type="even"/>
          <w:pgSz w:w="11906" w:h="16838"/>
          <w:pgMar w:top="1440" w:right="1800" w:bottom="1440" w:left="1800" w:header="851" w:footer="851" w:gutter="0"/>
          <w:pgNumType w:start="0"/>
          <w:cols w:space="720" w:num="1"/>
          <w:titlePg/>
          <w:docGrid w:linePitch="312" w:charSpace="0"/>
        </w:sectPr>
      </w:pPr>
    </w:p>
    <w:p>
      <w:pPr>
        <w:bidi w:val="0"/>
        <w:rPr>
          <w:rFonts w:hint="eastAsia"/>
          <w:color w:val="auto"/>
          <w:highlight w:val="none"/>
        </w:rPr>
      </w:pPr>
      <w:r>
        <w:rPr>
          <w:rFonts w:hint="eastAsia"/>
          <w:color w:val="auto"/>
          <w:highlight w:val="none"/>
          <w:lang w:val="en-US" w:eastAsia="zh-CN"/>
        </w:rPr>
        <w:t>三</w:t>
      </w:r>
      <w:r>
        <w:rPr>
          <w:rFonts w:hint="eastAsia"/>
          <w:color w:val="auto"/>
          <w:highlight w:val="none"/>
        </w:rPr>
        <w:t>、</w:t>
      </w:r>
      <w:r>
        <w:rPr>
          <w:rFonts w:hint="eastAsia"/>
          <w:color w:val="auto"/>
          <w:highlight w:val="none"/>
          <w:lang w:val="en-US" w:eastAsia="zh-CN"/>
        </w:rPr>
        <w:t>技术</w:t>
      </w:r>
      <w:r>
        <w:rPr>
          <w:rFonts w:hint="eastAsia"/>
          <w:color w:val="auto"/>
          <w:highlight w:val="none"/>
        </w:rPr>
        <w:t>文件格式</w:t>
      </w:r>
    </w:p>
    <w:p>
      <w:pPr>
        <w:bidi w:val="0"/>
        <w:rPr>
          <w:rFonts w:hint="eastAsia" w:ascii="仿宋" w:hAnsi="仿宋" w:eastAsia="仿宋"/>
          <w:b/>
          <w:color w:val="auto"/>
          <w:szCs w:val="21"/>
          <w:highlight w:val="none"/>
        </w:rPr>
      </w:pPr>
      <w:r>
        <w:rPr>
          <w:rFonts w:hint="eastAsia"/>
          <w:color w:val="auto"/>
          <w:highlight w:val="none"/>
          <w:lang w:val="en-US" w:eastAsia="zh-CN"/>
        </w:rPr>
        <w:t>3</w:t>
      </w:r>
      <w:r>
        <w:rPr>
          <w:rFonts w:hint="eastAsia"/>
          <w:color w:val="auto"/>
          <w:highlight w:val="none"/>
        </w:rPr>
        <w:t xml:space="preserve">.1 </w:t>
      </w:r>
      <w:r>
        <w:rPr>
          <w:rFonts w:hint="eastAsia"/>
          <w:color w:val="auto"/>
          <w:highlight w:val="none"/>
          <w:lang w:val="en-US" w:eastAsia="zh-CN"/>
        </w:rPr>
        <w:t>技术</w:t>
      </w:r>
      <w:r>
        <w:rPr>
          <w:rFonts w:hint="eastAsia"/>
          <w:color w:val="auto"/>
          <w:highlight w:val="none"/>
        </w:rPr>
        <w:t xml:space="preserve">文件内封面格式： </w:t>
      </w:r>
    </w:p>
    <w:p>
      <w:pPr>
        <w:snapToGrid w:val="0"/>
        <w:spacing w:before="120" w:beforeLines="50" w:after="50"/>
        <w:ind w:firstLine="645"/>
        <w:jc w:val="center"/>
        <w:rPr>
          <w:rFonts w:hint="eastAsia" w:ascii="仿宋" w:hAnsi="仿宋" w:eastAsia="仿宋"/>
          <w:b/>
          <w:bCs/>
          <w:color w:val="auto"/>
          <w:sz w:val="52"/>
          <w:szCs w:val="52"/>
          <w:highlight w:val="none"/>
        </w:rPr>
      </w:pPr>
    </w:p>
    <w:p>
      <w:pPr>
        <w:snapToGrid w:val="0"/>
        <w:spacing w:before="120" w:beforeLines="50" w:after="50"/>
        <w:ind w:firstLine="645"/>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lang w:val="en-US" w:eastAsia="zh-CN"/>
        </w:rPr>
        <w:t>技术</w:t>
      </w:r>
      <w:r>
        <w:rPr>
          <w:rFonts w:hint="eastAsia" w:ascii="宋体" w:hAnsi="宋体" w:eastAsia="宋体" w:cs="宋体"/>
          <w:b/>
          <w:bCs/>
          <w:color w:val="auto"/>
          <w:sz w:val="52"/>
          <w:szCs w:val="52"/>
          <w:highlight w:val="none"/>
        </w:rPr>
        <w:t>文件</w:t>
      </w:r>
    </w:p>
    <w:p>
      <w:pPr>
        <w:bidi w:val="0"/>
        <w:rPr>
          <w:rFonts w:hint="eastAsia"/>
          <w:color w:val="auto"/>
          <w:highlight w:val="none"/>
        </w:rPr>
      </w:pPr>
    </w:p>
    <w:p>
      <w:pPr>
        <w:bidi w:val="0"/>
        <w:ind w:left="1680" w:leftChars="200" w:hanging="1200" w:hangingChars="500"/>
        <w:rPr>
          <w:rFonts w:hint="eastAsia"/>
          <w:color w:val="auto"/>
          <w:highlight w:val="yellow"/>
        </w:rPr>
      </w:pPr>
      <w:r>
        <w:rPr>
          <w:rFonts w:hint="eastAsia"/>
          <w:color w:val="auto"/>
          <w:highlight w:val="none"/>
        </w:rPr>
        <w:t>项目名称：</w:t>
      </w:r>
      <w:r>
        <w:rPr>
          <w:rFonts w:hint="eastAsia"/>
          <w:color w:val="auto"/>
          <w:highlight w:val="none"/>
          <w:lang w:val="en-US" w:eastAsia="zh-CN"/>
        </w:rPr>
        <w:t>广西国际博览集团有限公司2019－2023年度重点群体退抵税补贴项目服务采购项目</w:t>
      </w:r>
    </w:p>
    <w:p>
      <w:pPr>
        <w:bidi w:val="0"/>
        <w:rPr>
          <w:rFonts w:hint="eastAsia"/>
          <w:color w:val="auto"/>
          <w:highlight w:val="none"/>
        </w:rPr>
      </w:pPr>
    </w:p>
    <w:p>
      <w:pPr>
        <w:bidi w:val="0"/>
        <w:rPr>
          <w:rFonts w:hint="eastAsia"/>
          <w:color w:val="auto"/>
          <w:highlight w:val="none"/>
        </w:rPr>
      </w:pPr>
      <w:r>
        <w:rPr>
          <w:rFonts w:hint="eastAsia"/>
          <w:color w:val="auto"/>
          <w:highlight w:val="none"/>
          <w:lang w:eastAsia="zh-CN"/>
        </w:rPr>
        <w:t>供应商</w:t>
      </w:r>
      <w:r>
        <w:rPr>
          <w:rFonts w:hint="eastAsia"/>
          <w:color w:val="auto"/>
          <w:highlight w:val="none"/>
        </w:rPr>
        <w:t>名称：</w:t>
      </w:r>
    </w:p>
    <w:p>
      <w:pPr>
        <w:bidi w:val="0"/>
        <w:rPr>
          <w:rFonts w:hint="eastAsia"/>
          <w:color w:val="auto"/>
          <w:highlight w:val="none"/>
        </w:rPr>
      </w:pPr>
    </w:p>
    <w:p>
      <w:pPr>
        <w:bidi w:val="0"/>
        <w:rPr>
          <w:rFonts w:hint="eastAsia"/>
          <w:color w:val="auto"/>
          <w:highlight w:val="none"/>
        </w:rPr>
      </w:pPr>
      <w:r>
        <w:rPr>
          <w:rFonts w:hint="eastAsia"/>
          <w:color w:val="auto"/>
          <w:highlight w:val="none"/>
        </w:rPr>
        <w:t>法定代表人或委托代理人签字：</w:t>
      </w:r>
    </w:p>
    <w:p>
      <w:pPr>
        <w:pStyle w:val="7"/>
        <w:snapToGrid w:val="0"/>
        <w:spacing w:before="50" w:after="50"/>
        <w:ind w:firstLine="960" w:firstLineChars="400"/>
        <w:rPr>
          <w:rFonts w:hint="eastAsia" w:ascii="仿宋" w:hAnsi="仿宋" w:eastAsia="仿宋"/>
          <w:bCs/>
          <w:color w:val="auto"/>
          <w:sz w:val="24"/>
          <w:szCs w:val="24"/>
          <w:highlight w:val="none"/>
        </w:rPr>
      </w:pPr>
    </w:p>
    <w:p>
      <w:pPr>
        <w:snapToGrid w:val="0"/>
        <w:spacing w:before="50" w:after="50" w:line="280" w:lineRule="exact"/>
        <w:rPr>
          <w:rFonts w:hint="eastAsia" w:ascii="宋体" w:hAnsi="宋体" w:eastAsia="宋体" w:cs="宋体"/>
          <w:b/>
          <w:color w:val="auto"/>
          <w:sz w:val="24"/>
          <w:szCs w:val="24"/>
          <w:highlight w:val="none"/>
        </w:rPr>
      </w:pPr>
    </w:p>
    <w:p>
      <w:pPr>
        <w:snapToGrid w:val="0"/>
        <w:spacing w:before="50" w:after="50" w:line="280" w:lineRule="exact"/>
        <w:rPr>
          <w:rFonts w:hint="eastAsia" w:ascii="宋体" w:hAnsi="宋体" w:eastAsia="宋体" w:cs="宋体"/>
          <w:b/>
          <w:color w:val="auto"/>
          <w:sz w:val="24"/>
          <w:szCs w:val="24"/>
          <w:highlight w:val="none"/>
        </w:rPr>
      </w:pPr>
    </w:p>
    <w:p>
      <w:pPr>
        <w:snapToGrid w:val="0"/>
        <w:spacing w:before="50" w:after="120" w:afterLines="50" w:line="26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技术响应表格式：</w:t>
      </w:r>
    </w:p>
    <w:p>
      <w:pPr>
        <w:bidi w:val="0"/>
        <w:jc w:val="center"/>
        <w:rPr>
          <w:rFonts w:hint="eastAsia"/>
          <w:b/>
          <w:bCs/>
          <w:color w:val="auto"/>
          <w:sz w:val="30"/>
          <w:szCs w:val="30"/>
          <w:highlight w:val="none"/>
        </w:rPr>
      </w:pPr>
      <w:bookmarkStart w:id="73" w:name="_Toc868"/>
      <w:bookmarkStart w:id="74" w:name="_Toc32204"/>
      <w:r>
        <w:rPr>
          <w:rFonts w:hint="eastAsia"/>
          <w:b/>
          <w:bCs/>
          <w:color w:val="auto"/>
          <w:sz w:val="30"/>
          <w:szCs w:val="30"/>
          <w:highlight w:val="none"/>
          <w:lang w:val="en-US" w:eastAsia="zh-CN"/>
        </w:rPr>
        <w:t>技术响应表</w:t>
      </w:r>
      <w:bookmarkEnd w:id="73"/>
      <w:bookmarkEnd w:id="74"/>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3"/>
        <w:gridCol w:w="2977"/>
        <w:gridCol w:w="1368"/>
        <w:gridCol w:w="24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2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招标文件要求</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是否响应</w:t>
            </w:r>
          </w:p>
        </w:tc>
        <w:tc>
          <w:tcPr>
            <w:tcW w:w="2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2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color w:val="auto"/>
                <w:sz w:val="24"/>
                <w:szCs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color w:val="auto"/>
                <w:sz w:val="24"/>
                <w:szCs w:val="24"/>
                <w:highlight w:val="none"/>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color w:val="auto"/>
                <w:sz w:val="24"/>
                <w:szCs w:val="24"/>
                <w:highlight w:val="none"/>
              </w:rPr>
            </w:pPr>
          </w:p>
        </w:tc>
        <w:tc>
          <w:tcPr>
            <w:tcW w:w="2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2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color w:val="auto"/>
                <w:sz w:val="24"/>
                <w:szCs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color w:val="auto"/>
                <w:sz w:val="24"/>
                <w:szCs w:val="24"/>
                <w:highlight w:val="none"/>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color w:val="auto"/>
                <w:sz w:val="24"/>
                <w:szCs w:val="24"/>
                <w:highlight w:val="none"/>
              </w:rPr>
            </w:pPr>
          </w:p>
        </w:tc>
        <w:tc>
          <w:tcPr>
            <w:tcW w:w="2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2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color w:val="auto"/>
                <w:sz w:val="24"/>
                <w:szCs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color w:val="auto"/>
                <w:sz w:val="24"/>
                <w:szCs w:val="24"/>
                <w:highlight w:val="none"/>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color w:val="auto"/>
                <w:sz w:val="24"/>
                <w:szCs w:val="24"/>
                <w:highlight w:val="none"/>
              </w:rPr>
            </w:pPr>
          </w:p>
        </w:tc>
        <w:tc>
          <w:tcPr>
            <w:tcW w:w="2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color w:val="auto"/>
                <w:sz w:val="24"/>
                <w:szCs w:val="24"/>
                <w:highlight w:val="none"/>
              </w:rPr>
            </w:pPr>
          </w:p>
        </w:tc>
      </w:tr>
    </w:tbl>
    <w:p>
      <w:pPr>
        <w:bidi w:val="0"/>
        <w:rPr>
          <w:rFonts w:hint="eastAsia"/>
          <w:color w:val="auto"/>
          <w:highlight w:val="none"/>
        </w:rPr>
      </w:pPr>
      <w:r>
        <w:rPr>
          <w:rFonts w:hint="eastAsia"/>
          <w:color w:val="auto"/>
          <w:highlight w:val="none"/>
        </w:rPr>
        <w:t>注：对照招标文件中</w:t>
      </w:r>
      <w:r>
        <w:rPr>
          <w:rFonts w:hint="eastAsia"/>
          <w:color w:val="auto"/>
          <w:highlight w:val="none"/>
          <w:lang w:eastAsia="zh-CN"/>
        </w:rPr>
        <w:t>的要求</w:t>
      </w:r>
      <w:r>
        <w:rPr>
          <w:rFonts w:hint="eastAsia"/>
          <w:color w:val="auto"/>
          <w:highlight w:val="none"/>
        </w:rPr>
        <w:t>逐条响应并在“偏离情况”栏注明“正偏离”、“负偏离”或“响应”。</w:t>
      </w:r>
    </w:p>
    <w:p>
      <w:pPr>
        <w:bidi w:val="0"/>
        <w:rPr>
          <w:rFonts w:hint="eastAsia"/>
          <w:color w:val="auto"/>
          <w:highlight w:val="none"/>
        </w:rPr>
      </w:pPr>
    </w:p>
    <w:p>
      <w:pPr>
        <w:bidi w:val="0"/>
        <w:rPr>
          <w:rFonts w:hint="eastAsia"/>
          <w:color w:val="auto"/>
          <w:highlight w:val="none"/>
        </w:rPr>
      </w:pPr>
    </w:p>
    <w:p>
      <w:pPr>
        <w:pStyle w:val="17"/>
        <w:rPr>
          <w:rFonts w:hint="eastAsia"/>
          <w:color w:val="auto"/>
          <w:highlight w:val="none"/>
        </w:rPr>
      </w:pPr>
    </w:p>
    <w:p>
      <w:pPr>
        <w:pStyle w:val="156"/>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Ansi="宋体" w:eastAsia="宋体"/>
          <w:color w:val="auto"/>
          <w:sz w:val="24"/>
          <w:szCs w:val="24"/>
          <w:highlight w:val="none"/>
          <w:u w:val="single"/>
        </w:rPr>
      </w:pPr>
      <w:r>
        <w:rPr>
          <w:rFonts w:hint="eastAsia" w:hAnsi="宋体" w:eastAsia="宋体"/>
          <w:color w:val="auto"/>
          <w:sz w:val="24"/>
          <w:szCs w:val="24"/>
          <w:highlight w:val="none"/>
          <w:lang w:eastAsia="zh-CN"/>
        </w:rPr>
        <w:t>供应商</w:t>
      </w:r>
      <w:r>
        <w:rPr>
          <w:rFonts w:hint="eastAsia" w:hAnsi="宋体" w:eastAsia="宋体"/>
          <w:color w:val="auto"/>
          <w:sz w:val="24"/>
          <w:szCs w:val="24"/>
          <w:highlight w:val="none"/>
        </w:rPr>
        <w:t>（盖单位公章）：</w:t>
      </w:r>
      <w:r>
        <w:rPr>
          <w:rFonts w:hint="eastAsia" w:hAnsi="宋体" w:eastAsia="宋体"/>
          <w:color w:val="auto"/>
          <w:sz w:val="24"/>
          <w:szCs w:val="24"/>
          <w:highlight w:val="none"/>
          <w:u w:val="single"/>
        </w:rPr>
        <w:t xml:space="preserve">                              </w:t>
      </w:r>
    </w:p>
    <w:p>
      <w:pPr>
        <w:pStyle w:val="156"/>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Ansi="宋体" w:eastAsia="宋体"/>
          <w:color w:val="auto"/>
          <w:sz w:val="24"/>
          <w:szCs w:val="24"/>
          <w:highlight w:val="none"/>
          <w:u w:val="single"/>
        </w:rPr>
      </w:pPr>
      <w:r>
        <w:rPr>
          <w:rFonts w:hint="eastAsia" w:hAnsi="宋体" w:eastAsia="宋体"/>
          <w:color w:val="auto"/>
          <w:sz w:val="24"/>
          <w:szCs w:val="24"/>
          <w:highlight w:val="none"/>
        </w:rPr>
        <w:t>法定代表人或其委托代理人（签字或盖章）：</w:t>
      </w:r>
      <w:r>
        <w:rPr>
          <w:rFonts w:hint="eastAsia" w:hAnsi="宋体" w:eastAsia="宋体"/>
          <w:color w:val="auto"/>
          <w:sz w:val="24"/>
          <w:szCs w:val="24"/>
          <w:highlight w:val="none"/>
          <w:u w:val="single"/>
        </w:rPr>
        <w:t xml:space="preserve">            </w:t>
      </w:r>
    </w:p>
    <w:p>
      <w:pPr>
        <w:pStyle w:val="156"/>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Ansi="宋体" w:eastAsia="宋体"/>
          <w:color w:val="auto"/>
          <w:sz w:val="24"/>
          <w:szCs w:val="24"/>
          <w:highlight w:val="none"/>
          <w:u w:val="single"/>
        </w:rPr>
      </w:pPr>
      <w:r>
        <w:rPr>
          <w:rFonts w:hint="eastAsia" w:hAnsi="宋体" w:eastAsia="宋体"/>
          <w:color w:val="auto"/>
          <w:sz w:val="24"/>
          <w:szCs w:val="24"/>
          <w:highlight w:val="none"/>
        </w:rPr>
        <w:t>日期：</w:t>
      </w:r>
      <w:r>
        <w:rPr>
          <w:rFonts w:hint="eastAsia" w:hAnsi="宋体" w:eastAsia="宋体"/>
          <w:color w:val="auto"/>
          <w:sz w:val="24"/>
          <w:szCs w:val="24"/>
          <w:highlight w:val="none"/>
          <w:u w:val="single"/>
        </w:rPr>
        <w:t xml:space="preserve">            </w:t>
      </w:r>
    </w:p>
    <w:p>
      <w:pPr>
        <w:snapToGrid w:val="0"/>
        <w:spacing w:before="50" w:after="120" w:afterLines="50"/>
        <w:jc w:val="left"/>
        <w:rPr>
          <w:rFonts w:hint="eastAsia" w:ascii="宋体" w:hAnsi="宋体" w:eastAsia="宋体" w:cs="宋体"/>
          <w:b/>
          <w:color w:val="auto"/>
          <w:sz w:val="24"/>
          <w:szCs w:val="24"/>
          <w:highlight w:val="none"/>
        </w:rPr>
      </w:pPr>
    </w:p>
    <w:p>
      <w:pPr>
        <w:snapToGrid w:val="0"/>
        <w:spacing w:before="50" w:after="120" w:afterLines="50"/>
        <w:jc w:val="left"/>
        <w:rPr>
          <w:rFonts w:hint="eastAsia" w:ascii="宋体" w:hAnsi="宋体" w:eastAsia="宋体" w:cs="宋体"/>
          <w:b/>
          <w:color w:val="auto"/>
          <w:sz w:val="24"/>
          <w:szCs w:val="24"/>
          <w:highlight w:val="none"/>
        </w:rPr>
        <w:sectPr>
          <w:footerReference r:id="rId13" w:type="first"/>
          <w:headerReference r:id="rId10" w:type="default"/>
          <w:footerReference r:id="rId11" w:type="default"/>
          <w:footerReference r:id="rId12" w:type="even"/>
          <w:pgSz w:w="11906" w:h="16838"/>
          <w:pgMar w:top="1134" w:right="924" w:bottom="1134" w:left="1470" w:header="851" w:footer="851" w:gutter="0"/>
          <w:cols w:space="720" w:num="1"/>
          <w:titlePg/>
          <w:docGrid w:linePitch="312" w:charSpace="0"/>
        </w:sectPr>
      </w:pPr>
    </w:p>
    <w:p>
      <w:pPr>
        <w:pStyle w:val="3"/>
        <w:keepNext/>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color w:val="auto"/>
          <w:highlight w:val="none"/>
          <w:lang w:val="en-US" w:eastAsia="zh-CN"/>
        </w:rPr>
      </w:pPr>
      <w:bookmarkStart w:id="75" w:name="_Toc27872"/>
      <w:bookmarkStart w:id="76" w:name="_Toc16472"/>
      <w:bookmarkStart w:id="77" w:name="_Toc17978"/>
      <w:r>
        <w:rPr>
          <w:rFonts w:hint="eastAsia"/>
          <w:color w:val="auto"/>
          <w:highlight w:val="none"/>
        </w:rPr>
        <w:t>第</w:t>
      </w:r>
      <w:r>
        <w:rPr>
          <w:rFonts w:hint="eastAsia"/>
          <w:color w:val="auto"/>
          <w:highlight w:val="none"/>
          <w:lang w:val="en-US" w:eastAsia="zh-CN"/>
        </w:rPr>
        <w:t>五</w:t>
      </w:r>
      <w:r>
        <w:rPr>
          <w:rFonts w:hint="eastAsia"/>
          <w:color w:val="auto"/>
          <w:highlight w:val="none"/>
        </w:rPr>
        <w:t xml:space="preserve">章 </w:t>
      </w:r>
      <w:r>
        <w:rPr>
          <w:rFonts w:hint="eastAsia"/>
          <w:color w:val="auto"/>
          <w:highlight w:val="none"/>
          <w:lang w:val="en-US" w:eastAsia="zh-CN"/>
        </w:rPr>
        <w:t>采购需求</w:t>
      </w:r>
      <w:bookmarkEnd w:id="75"/>
      <w:bookmarkEnd w:id="76"/>
    </w:p>
    <w:tbl>
      <w:tblPr>
        <w:tblStyle w:val="46"/>
        <w:tblW w:w="9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932"/>
        <w:gridCol w:w="1440"/>
        <w:gridCol w:w="9"/>
        <w:gridCol w:w="567"/>
        <w:gridCol w:w="70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9752" w:type="dxa"/>
            <w:gridSpan w:val="6"/>
            <w:shd w:val="clear" w:color="auto" w:fill="auto"/>
            <w:noWrap w:val="0"/>
            <w:vAlign w:val="center"/>
          </w:tcPr>
          <w:p>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一、服务要求及技术需求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37" w:hRule="atLeast"/>
        </w:trPr>
        <w:tc>
          <w:tcPr>
            <w:tcW w:w="932" w:type="dxa"/>
            <w:shd w:val="clear" w:color="auto" w:fill="auto"/>
            <w:noWrap w:val="0"/>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项号</w:t>
            </w:r>
          </w:p>
        </w:tc>
        <w:tc>
          <w:tcPr>
            <w:tcW w:w="1440" w:type="dxa"/>
            <w:shd w:val="clear" w:color="auto" w:fill="auto"/>
            <w:noWrap w:val="0"/>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服务名称</w:t>
            </w:r>
          </w:p>
        </w:tc>
        <w:tc>
          <w:tcPr>
            <w:tcW w:w="576" w:type="dxa"/>
            <w:gridSpan w:val="2"/>
            <w:shd w:val="clear" w:color="auto" w:fill="auto"/>
            <w:noWrap w:val="0"/>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09" w:type="dxa"/>
            <w:shd w:val="clear" w:color="auto" w:fill="auto"/>
            <w:noWrap w:val="0"/>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6095" w:type="dxa"/>
            <w:shd w:val="clear" w:color="auto" w:fill="auto"/>
            <w:noWrap w:val="0"/>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910" w:hRule="atLeast"/>
        </w:trPr>
        <w:tc>
          <w:tcPr>
            <w:tcW w:w="932" w:type="dxa"/>
            <w:shd w:val="clear" w:color="auto" w:fill="auto"/>
            <w:noWrap w:val="0"/>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40" w:type="dxa"/>
            <w:shd w:val="clear" w:color="auto" w:fill="auto"/>
            <w:noWrap w:val="0"/>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广西国际博览集团有限公司2019－2023年度重点群体退抵税补贴项目服务采购项目</w:t>
            </w:r>
          </w:p>
        </w:tc>
        <w:tc>
          <w:tcPr>
            <w:tcW w:w="576" w:type="dxa"/>
            <w:gridSpan w:val="2"/>
            <w:shd w:val="clear" w:color="auto" w:fill="auto"/>
            <w:noWrap w:val="0"/>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09" w:type="dxa"/>
            <w:shd w:val="clear" w:color="auto" w:fill="auto"/>
            <w:noWrap w:val="0"/>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6095" w:type="dxa"/>
            <w:shd w:val="clear" w:color="auto" w:fill="auto"/>
            <w:noWrap w:val="0"/>
            <w:vAlign w:val="center"/>
          </w:tcPr>
          <w:p>
            <w:pPr>
              <w:keepNext w:val="0"/>
              <w:keepLines w:val="0"/>
              <w:pageBreakBefore w:val="0"/>
              <w:widowControl/>
              <w:shd w:val="clear" w:color="auto" w:fill="FFFFFF"/>
              <w:kinsoku/>
              <w:wordWrap/>
              <w:overflowPunct/>
              <w:topLinePunct w:val="0"/>
              <w:autoSpaceDE/>
              <w:autoSpaceDN/>
              <w:bidi w:val="0"/>
              <w:spacing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cs="宋体"/>
                <w:color w:val="auto"/>
                <w:spacing w:val="-3"/>
                <w:kern w:val="0"/>
                <w:sz w:val="24"/>
                <w:szCs w:val="24"/>
                <w:highlight w:val="none"/>
                <w:shd w:val="clear" w:color="auto" w:fill="FFFFFF"/>
                <w:lang w:val="en-US" w:eastAsia="zh-CN" w:bidi="ar"/>
              </w:rPr>
              <w:t>1.中标人须提前告知采购人最新补贴政策，提供申报补贴项目服务方案</w:t>
            </w:r>
            <w:r>
              <w:rPr>
                <w:rFonts w:hint="eastAsia" w:ascii="宋体" w:hAnsi="宋体" w:eastAsia="宋体" w:cs="宋体"/>
                <w:color w:val="auto"/>
                <w:spacing w:val="-3"/>
                <w:kern w:val="0"/>
                <w:sz w:val="24"/>
                <w:szCs w:val="24"/>
                <w:highlight w:val="none"/>
                <w:shd w:val="clear" w:color="auto" w:fill="FFFFFF"/>
                <w:lang w:bidi="ar"/>
              </w:rPr>
              <w:t>。</w:t>
            </w:r>
          </w:p>
          <w:p>
            <w:pPr>
              <w:keepNext w:val="0"/>
              <w:keepLines w:val="0"/>
              <w:pageBreakBefore w:val="0"/>
              <w:widowControl/>
              <w:shd w:val="clear" w:color="auto" w:fill="FFFFFF"/>
              <w:kinsoku/>
              <w:wordWrap/>
              <w:overflowPunct/>
              <w:topLinePunct w:val="0"/>
              <w:autoSpaceDE/>
              <w:autoSpaceDN/>
              <w:bidi w:val="0"/>
              <w:spacing w:line="360" w:lineRule="auto"/>
              <w:ind w:left="0" w:firstLine="0" w:firstLineChars="0"/>
              <w:jc w:val="left"/>
              <w:textAlignment w:val="auto"/>
              <w:rPr>
                <w:rFonts w:hint="default" w:ascii="宋体" w:hAnsi="宋体" w:cs="宋体"/>
                <w:color w:val="auto"/>
                <w:spacing w:val="-3"/>
                <w:kern w:val="0"/>
                <w:sz w:val="24"/>
                <w:szCs w:val="24"/>
                <w:highlight w:val="none"/>
                <w:shd w:val="clear" w:color="auto" w:fill="FFFFFF"/>
                <w:lang w:val="en-US" w:eastAsia="zh-CN" w:bidi="ar"/>
              </w:rPr>
            </w:pPr>
            <w:r>
              <w:rPr>
                <w:rFonts w:hint="eastAsia" w:ascii="宋体" w:hAnsi="宋体" w:cs="宋体"/>
                <w:color w:val="auto"/>
                <w:spacing w:val="-3"/>
                <w:kern w:val="0"/>
                <w:sz w:val="24"/>
                <w:szCs w:val="24"/>
                <w:highlight w:val="none"/>
                <w:shd w:val="clear" w:color="auto" w:fill="FFFFFF"/>
                <w:lang w:val="en-US" w:eastAsia="zh-CN" w:bidi="ar"/>
              </w:rPr>
              <w:t>2.中标人必须提供专业人才，具有较强的专业能力，掌握并熟练运用相关政策。</w:t>
            </w:r>
          </w:p>
          <w:p>
            <w:pPr>
              <w:keepNext w:val="0"/>
              <w:keepLines w:val="0"/>
              <w:pageBreakBefore w:val="0"/>
              <w:widowControl/>
              <w:shd w:val="clear" w:color="auto" w:fill="FFFFFF"/>
              <w:kinsoku/>
              <w:wordWrap/>
              <w:overflowPunct/>
              <w:topLinePunct w:val="0"/>
              <w:autoSpaceDE/>
              <w:autoSpaceDN/>
              <w:bidi w:val="0"/>
              <w:spacing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cs="宋体"/>
                <w:color w:val="auto"/>
                <w:spacing w:val="-3"/>
                <w:kern w:val="0"/>
                <w:sz w:val="24"/>
                <w:szCs w:val="24"/>
                <w:highlight w:val="none"/>
                <w:shd w:val="clear" w:color="auto" w:fill="FFFFFF"/>
                <w:lang w:val="en-US" w:eastAsia="zh-CN" w:bidi="ar"/>
              </w:rPr>
              <w:t>3.</w:t>
            </w:r>
            <w:r>
              <w:rPr>
                <w:rFonts w:hint="eastAsia" w:ascii="宋体" w:hAnsi="宋体" w:eastAsia="宋体" w:cs="宋体"/>
                <w:color w:val="auto"/>
                <w:spacing w:val="-3"/>
                <w:kern w:val="0"/>
                <w:sz w:val="24"/>
                <w:szCs w:val="24"/>
                <w:highlight w:val="none"/>
                <w:shd w:val="clear" w:color="auto" w:fill="FFFFFF"/>
                <w:lang w:bidi="ar"/>
              </w:rPr>
              <w:t>中标人必须按照国家相关保密规定，</w:t>
            </w:r>
            <w:r>
              <w:rPr>
                <w:rFonts w:hint="eastAsia" w:ascii="宋体" w:hAnsi="宋体" w:eastAsia="宋体" w:cs="宋体"/>
                <w:color w:val="auto"/>
                <w:spacing w:val="-3"/>
                <w:kern w:val="0"/>
                <w:sz w:val="24"/>
                <w:szCs w:val="24"/>
                <w:highlight w:val="none"/>
                <w:shd w:val="clear" w:color="auto" w:fill="FFFFFF"/>
                <w:lang w:val="en-US" w:eastAsia="zh-CN" w:bidi="ar"/>
              </w:rPr>
              <w:t>与</w:t>
            </w:r>
            <w:r>
              <w:rPr>
                <w:rFonts w:hint="eastAsia" w:ascii="宋体" w:hAnsi="宋体" w:eastAsia="宋体" w:cs="宋体"/>
                <w:color w:val="auto"/>
                <w:spacing w:val="-3"/>
                <w:kern w:val="0"/>
                <w:sz w:val="24"/>
                <w:szCs w:val="24"/>
                <w:highlight w:val="none"/>
                <w:shd w:val="clear" w:color="auto" w:fill="FFFFFF"/>
                <w:lang w:bidi="ar"/>
              </w:rPr>
              <w:t>采购人签订保密协议，保守采购人的工作秘密。因中标人保密履责不到位，造成不良影响和损失的，采购人有权追究中标人法律责任。</w:t>
            </w:r>
          </w:p>
          <w:p>
            <w:pPr>
              <w:keepNext w:val="0"/>
              <w:keepLines w:val="0"/>
              <w:pageBreakBefore w:val="0"/>
              <w:widowControl/>
              <w:shd w:val="clear" w:color="auto" w:fill="FFFFFF"/>
              <w:kinsoku/>
              <w:wordWrap/>
              <w:overflowPunct/>
              <w:topLinePunct w:val="0"/>
              <w:autoSpaceDE/>
              <w:autoSpaceDN/>
              <w:bidi w:val="0"/>
              <w:spacing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cs="宋体"/>
                <w:color w:val="auto"/>
                <w:spacing w:val="-3"/>
                <w:kern w:val="0"/>
                <w:sz w:val="24"/>
                <w:szCs w:val="24"/>
                <w:highlight w:val="none"/>
                <w:shd w:val="clear" w:color="auto" w:fill="FFFFFF"/>
                <w:lang w:val="en-US" w:eastAsia="zh-CN" w:bidi="ar"/>
              </w:rPr>
              <w:t>4.</w:t>
            </w:r>
            <w:r>
              <w:rPr>
                <w:rFonts w:hint="eastAsia" w:ascii="宋体" w:hAnsi="宋体" w:eastAsia="宋体" w:cs="宋体"/>
                <w:color w:val="auto"/>
                <w:spacing w:val="-3"/>
                <w:kern w:val="0"/>
                <w:sz w:val="24"/>
                <w:szCs w:val="24"/>
                <w:highlight w:val="none"/>
                <w:shd w:val="clear" w:color="auto" w:fill="FFFFFF"/>
                <w:lang w:bidi="ar"/>
              </w:rPr>
              <w:t>在中标人服务过程中，采购人有权实施监督检查。</w:t>
            </w:r>
          </w:p>
          <w:p>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若中标人在服务期内违反其服务承诺或本招标文件</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的，则视为中标人违约，采购人有权拒绝支付项目服务费。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9752" w:type="dxa"/>
            <w:gridSpan w:val="6"/>
            <w:shd w:val="clear" w:color="auto" w:fill="auto"/>
            <w:noWrap w:val="0"/>
            <w:vAlign w:val="center"/>
          </w:tcPr>
          <w:p>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color w:val="auto"/>
                <w:sz w:val="24"/>
                <w:szCs w:val="24"/>
                <w:highlight w:val="none"/>
              </w:rPr>
              <w:t>二、商务要求表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93" w:hRule="atLeast"/>
        </w:trPr>
        <w:tc>
          <w:tcPr>
            <w:tcW w:w="2381" w:type="dxa"/>
            <w:gridSpan w:val="3"/>
            <w:shd w:val="clear" w:color="auto" w:fill="auto"/>
            <w:noWrap w:val="0"/>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投标报价要求</w:t>
            </w:r>
          </w:p>
        </w:tc>
        <w:tc>
          <w:tcPr>
            <w:tcW w:w="7371" w:type="dxa"/>
            <w:gridSpan w:val="3"/>
            <w:shd w:val="clear" w:color="auto" w:fill="auto"/>
            <w:noWrap w:val="0"/>
            <w:vAlign w:val="center"/>
          </w:tcPr>
          <w:p>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投标报价为</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服务费</w:t>
            </w:r>
            <w:r>
              <w:rPr>
                <w:rFonts w:hint="eastAsia" w:ascii="宋体" w:hAnsi="宋体" w:cs="宋体"/>
                <w:color w:val="auto"/>
                <w:sz w:val="24"/>
                <w:szCs w:val="24"/>
                <w:highlight w:val="no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2381" w:type="dxa"/>
            <w:gridSpan w:val="3"/>
            <w:shd w:val="clear" w:color="auto" w:fill="auto"/>
            <w:noWrap w:val="0"/>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服务期限</w:t>
            </w:r>
          </w:p>
        </w:tc>
        <w:tc>
          <w:tcPr>
            <w:tcW w:w="7371" w:type="dxa"/>
            <w:gridSpan w:val="3"/>
            <w:shd w:val="clear" w:color="auto" w:fill="auto"/>
            <w:noWrap w:val="0"/>
            <w:vAlign w:val="center"/>
          </w:tcPr>
          <w:p>
            <w:pPr>
              <w:keepNext w:val="0"/>
              <w:keepLines w:val="0"/>
              <w:pageBreakBefore w:val="0"/>
              <w:kinsoku/>
              <w:wordWrap/>
              <w:overflowPunct/>
              <w:topLinePunct w:val="0"/>
              <w:autoSpaceDE/>
              <w:autoSpaceDN/>
              <w:bidi w:val="0"/>
              <w:snapToGrid w:val="0"/>
              <w:spacing w:line="360" w:lineRule="auto"/>
              <w:ind w:left="0" w:firstLine="0" w:firstLineChars="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2023年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日</w:t>
            </w:r>
            <w:r>
              <w:rPr>
                <w:rFonts w:hint="eastAsia" w:ascii="宋体" w:hAnsi="宋体" w:cs="宋体"/>
                <w:color w:val="auto"/>
                <w:sz w:val="24"/>
                <w:szCs w:val="24"/>
                <w:highlight w:val="none"/>
                <w:lang w:val="en-US" w:eastAsia="zh-CN"/>
              </w:rPr>
              <w:t>-2024年9月9日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2381" w:type="dxa"/>
            <w:gridSpan w:val="3"/>
            <w:shd w:val="clear" w:color="auto" w:fill="auto"/>
            <w:noWrap w:val="0"/>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服务地点</w:t>
            </w:r>
          </w:p>
        </w:tc>
        <w:tc>
          <w:tcPr>
            <w:tcW w:w="7371" w:type="dxa"/>
            <w:gridSpan w:val="3"/>
            <w:shd w:val="clear" w:color="auto" w:fill="auto"/>
            <w:noWrap w:val="0"/>
            <w:vAlign w:val="center"/>
          </w:tcPr>
          <w:p>
            <w:pPr>
              <w:keepNext w:val="0"/>
              <w:keepLines w:val="0"/>
              <w:pageBreakBefore w:val="0"/>
              <w:kinsoku/>
              <w:wordWrap/>
              <w:overflowPunct/>
              <w:topLinePunct w:val="0"/>
              <w:autoSpaceDE/>
              <w:autoSpaceDN/>
              <w:bidi w:val="0"/>
              <w:snapToGrid w:val="0"/>
              <w:spacing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2381" w:type="dxa"/>
            <w:gridSpan w:val="3"/>
            <w:shd w:val="clear" w:color="auto" w:fill="auto"/>
            <w:noWrap w:val="0"/>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7371" w:type="dxa"/>
            <w:gridSpan w:val="3"/>
            <w:shd w:val="clear" w:color="auto" w:fill="auto"/>
            <w:noWrap w:val="0"/>
            <w:vAlign w:val="center"/>
          </w:tcPr>
          <w:p>
            <w:pPr>
              <w:keepNext w:val="0"/>
              <w:keepLines w:val="0"/>
              <w:pageBreakBefore w:val="0"/>
              <w:kinsoku/>
              <w:wordWrap/>
              <w:overflowPunct/>
              <w:topLinePunct w:val="0"/>
              <w:autoSpaceDE/>
              <w:autoSpaceDN/>
              <w:bidi w:val="0"/>
              <w:snapToGrid w:val="0"/>
              <w:spacing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本项目无预付款，据实结算。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2381" w:type="dxa"/>
            <w:gridSpan w:val="3"/>
            <w:shd w:val="clear" w:color="auto" w:fill="auto"/>
            <w:noWrap w:val="0"/>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合同签订时间</w:t>
            </w:r>
          </w:p>
        </w:tc>
        <w:tc>
          <w:tcPr>
            <w:tcW w:w="7371" w:type="dxa"/>
            <w:gridSpan w:val="3"/>
            <w:shd w:val="clear" w:color="auto" w:fill="auto"/>
            <w:noWrap w:val="0"/>
            <w:vAlign w:val="center"/>
          </w:tcPr>
          <w:p>
            <w:pPr>
              <w:keepNext w:val="0"/>
              <w:keepLines w:val="0"/>
              <w:pageBreakBefore w:val="0"/>
              <w:numPr>
                <w:ilvl w:val="0"/>
                <w:numId w:val="1"/>
              </w:numPr>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总合同</w:t>
            </w:r>
            <w:r>
              <w:rPr>
                <w:rFonts w:hint="eastAsia" w:ascii="宋体" w:hAnsi="宋体" w:eastAsia="宋体" w:cs="宋体"/>
                <w:b w:val="0"/>
                <w:bCs w:val="0"/>
                <w:color w:val="auto"/>
                <w:sz w:val="24"/>
                <w:szCs w:val="24"/>
                <w:highlight w:val="none"/>
              </w:rPr>
              <w:t>自成交通知书发出之日起</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2381" w:type="dxa"/>
            <w:gridSpan w:val="3"/>
            <w:shd w:val="clear" w:color="auto" w:fill="auto"/>
            <w:noWrap w:val="0"/>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特别说明</w:t>
            </w:r>
          </w:p>
        </w:tc>
        <w:tc>
          <w:tcPr>
            <w:tcW w:w="7371" w:type="dxa"/>
            <w:gridSpan w:val="3"/>
            <w:shd w:val="clear" w:color="auto" w:fill="auto"/>
            <w:noWrap w:val="0"/>
            <w:vAlign w:val="center"/>
          </w:tcPr>
          <w:p>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申报的项目不成功，没有获得政府相关部门的退税或税收减免资金或补贴，支付</w:t>
            </w:r>
            <w:r>
              <w:rPr>
                <w:rFonts w:hint="eastAsia" w:ascii="宋体" w:hAnsi="宋体" w:cs="宋体"/>
                <w:bCs/>
                <w:color w:val="auto"/>
                <w:sz w:val="24"/>
                <w:szCs w:val="24"/>
                <w:highlight w:val="none"/>
                <w:lang w:val="en-US" w:eastAsia="zh-CN"/>
              </w:rPr>
              <w:t>项目</w:t>
            </w:r>
            <w:r>
              <w:rPr>
                <w:rFonts w:hint="eastAsia" w:ascii="宋体" w:hAnsi="宋体" w:eastAsia="宋体" w:cs="宋体"/>
                <w:bCs/>
                <w:color w:val="auto"/>
                <w:sz w:val="24"/>
                <w:szCs w:val="24"/>
                <w:highlight w:val="none"/>
              </w:rPr>
              <w:t>服务费</w:t>
            </w:r>
          </w:p>
        </w:tc>
      </w:tr>
    </w:tbl>
    <w:p>
      <w:pPr>
        <w:bidi w:val="0"/>
        <w:rPr>
          <w:rFonts w:hint="eastAsia"/>
          <w:color w:val="auto"/>
          <w:highlight w:val="none"/>
        </w:rPr>
      </w:pPr>
    </w:p>
    <w:bookmarkEnd w:id="77"/>
    <w:p>
      <w:pPr>
        <w:pStyle w:val="3"/>
        <w:keepNext/>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color w:val="auto"/>
          <w:highlight w:val="none"/>
          <w:lang w:val="en-US" w:eastAsia="zh-CN"/>
        </w:rPr>
      </w:pPr>
      <w:r>
        <w:rPr>
          <w:rFonts w:hint="eastAsia" w:ascii="宋体" w:hAnsi="宋体" w:eastAsia="宋体" w:cs="宋体"/>
          <w:b w:val="0"/>
          <w:bCs w:val="0"/>
          <w:i w:val="0"/>
          <w:caps w:val="0"/>
          <w:color w:val="auto"/>
          <w:spacing w:val="0"/>
          <w:w w:val="100"/>
          <w:kern w:val="0"/>
          <w:sz w:val="24"/>
          <w:szCs w:val="24"/>
          <w:highlight w:val="none"/>
          <w:lang w:eastAsia="zh-CN"/>
        </w:rPr>
        <w:br w:type="page"/>
      </w:r>
      <w:bookmarkStart w:id="78" w:name="_Toc13698"/>
      <w:r>
        <w:rPr>
          <w:rFonts w:hint="eastAsia"/>
          <w:color w:val="auto"/>
          <w:highlight w:val="none"/>
        </w:rPr>
        <w:t>第</w:t>
      </w:r>
      <w:r>
        <w:rPr>
          <w:rFonts w:hint="eastAsia"/>
          <w:color w:val="auto"/>
          <w:highlight w:val="none"/>
          <w:lang w:val="en-US" w:eastAsia="zh-CN"/>
        </w:rPr>
        <w:t>六</w:t>
      </w:r>
      <w:r>
        <w:rPr>
          <w:rFonts w:hint="eastAsia"/>
          <w:color w:val="auto"/>
          <w:highlight w:val="none"/>
        </w:rPr>
        <w:t xml:space="preserve">章 </w:t>
      </w:r>
      <w:r>
        <w:rPr>
          <w:rFonts w:hint="eastAsia"/>
          <w:color w:val="auto"/>
          <w:highlight w:val="none"/>
          <w:lang w:val="en-US" w:eastAsia="zh-CN"/>
        </w:rPr>
        <w:t>合同格式</w:t>
      </w:r>
      <w:bookmarkEnd w:id="78"/>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宋体" w:hAnsi="宋体" w:eastAsia="宋体" w:cs="宋体"/>
          <w:b w:val="0"/>
          <w:bCs w:val="0"/>
          <w:i w:val="0"/>
          <w:caps w:val="0"/>
          <w:color w:val="auto"/>
          <w:spacing w:val="0"/>
          <w:w w:val="100"/>
          <w:kern w:val="0"/>
          <w:sz w:val="24"/>
          <w:szCs w:val="24"/>
          <w:highlight w:val="none"/>
          <w:lang w:eastAsia="zh-CN"/>
        </w:rPr>
      </w:pPr>
      <w:r>
        <w:rPr>
          <w:rFonts w:hint="eastAsia" w:ascii="宋体" w:hAnsi="宋体" w:eastAsia="宋体" w:cs="宋体"/>
          <w:b w:val="0"/>
          <w:bCs w:val="0"/>
          <w:i w:val="0"/>
          <w:caps w:val="0"/>
          <w:color w:val="auto"/>
          <w:spacing w:val="0"/>
          <w:w w:val="100"/>
          <w:kern w:val="0"/>
          <w:sz w:val="24"/>
          <w:szCs w:val="24"/>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eastAsia="zh-CN"/>
        </w:rPr>
        <w:t>企业咨询服务合同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甲方：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注册地址：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单位类型：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法定代表人：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统一社会信用代码：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邮政编码：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联系部门：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联系人/电话：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乙方：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注册地址：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单位类型：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法定代表人：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统一社会信用代码：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邮政编码：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联系部门：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联系人/电话：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依据《中华人民共和国民法典》及其他相关法律法规的规定，甲乙双方本着合法公正、平等自愿、优势互补、互惠互利、协商一致的原则，就甲方将其招商人员岗位所涉及的劳务工作外包给乙方管理等事项，经友好协商一致达成如下协议，以资共同遵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w:t>
      </w:r>
      <w:r>
        <w:rPr>
          <w:rFonts w:hint="eastAsia" w:ascii="宋体" w:hAnsi="宋体" w:cs="宋体"/>
          <w:color w:val="auto"/>
          <w:sz w:val="24"/>
          <w:szCs w:val="24"/>
          <w:highlight w:val="none"/>
          <w:lang w:val="en-US" w:eastAsia="zh-CN"/>
        </w:rPr>
        <w:t>合同时效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本合同为甲方委托乙方协助甲方申报</w:t>
      </w:r>
      <w:r>
        <w:rPr>
          <w:rFonts w:hint="eastAsia" w:ascii="宋体" w:hAnsi="宋体" w:eastAsia="宋体" w:cs="宋体"/>
          <w:color w:val="auto"/>
          <w:sz w:val="24"/>
          <w:szCs w:val="24"/>
          <w:highlight w:val="none"/>
          <w:u w:val="single"/>
          <w:lang w:eastAsia="zh-CN"/>
        </w:rPr>
        <w:t>“企业吸纳建档立卡贫困人口等重点群体就业享受税收优惠”</w:t>
      </w:r>
      <w:r>
        <w:rPr>
          <w:rFonts w:hint="eastAsia" w:ascii="宋体" w:hAnsi="宋体" w:eastAsia="宋体" w:cs="宋体"/>
          <w:color w:val="auto"/>
          <w:sz w:val="24"/>
          <w:szCs w:val="24"/>
          <w:highlight w:val="none"/>
          <w:lang w:eastAsia="zh-CN"/>
        </w:rPr>
        <w:t>项目和</w:t>
      </w:r>
      <w:r>
        <w:rPr>
          <w:rFonts w:hint="eastAsia" w:ascii="宋体" w:hAnsi="宋体" w:eastAsia="宋体" w:cs="宋体"/>
          <w:color w:val="auto"/>
          <w:sz w:val="24"/>
          <w:szCs w:val="24"/>
          <w:highlight w:val="none"/>
          <w:u w:val="single"/>
          <w:lang w:eastAsia="zh-CN"/>
        </w:rPr>
        <w:t>“人社惠企补贴”</w:t>
      </w:r>
      <w:r>
        <w:rPr>
          <w:rFonts w:hint="eastAsia" w:ascii="宋体" w:hAnsi="宋体" w:eastAsia="宋体" w:cs="宋体"/>
          <w:color w:val="auto"/>
          <w:sz w:val="24"/>
          <w:szCs w:val="24"/>
          <w:highlight w:val="none"/>
          <w:lang w:eastAsia="zh-CN"/>
        </w:rPr>
        <w:t>；乙方负责服务的对象包括甲方集团总公司以及旗下二级、三级公司、分公司等；若本合同项下委托申报的项目成功，甲方成功获得政府相关部门的退税或税收减免资金或相关部门补贴资金，甲方按照本合同的约定向乙方支付服务费用，退税或税收减免资金或者补贴下发的有效期以合同签订服务期间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二、项目名称、服务费用及付款方式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甲方委托乙方为甲方办理</w:t>
      </w:r>
      <w:r>
        <w:rPr>
          <w:rFonts w:hint="eastAsia" w:ascii="宋体" w:hAnsi="宋体" w:eastAsia="宋体" w:cs="宋体"/>
          <w:color w:val="auto"/>
          <w:sz w:val="24"/>
          <w:szCs w:val="24"/>
          <w:highlight w:val="none"/>
          <w:u w:val="single"/>
          <w:lang w:eastAsia="zh-CN"/>
        </w:rPr>
        <w:t xml:space="preserve">    下述服务列表中   </w:t>
      </w:r>
      <w:r>
        <w:rPr>
          <w:rFonts w:hint="eastAsia" w:ascii="宋体" w:hAnsi="宋体" w:eastAsia="宋体" w:cs="宋体"/>
          <w:color w:val="auto"/>
          <w:sz w:val="24"/>
          <w:szCs w:val="24"/>
          <w:highlight w:val="none"/>
          <w:lang w:eastAsia="zh-CN"/>
        </w:rPr>
        <w:t>的咨询辅导服务。</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6553"/>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0" w:type="auto"/>
            <w:vMerge w:val="restart"/>
            <w:vAlign w:val="center"/>
          </w:tcPr>
          <w:p>
            <w:pPr>
              <w:spacing w:line="360" w:lineRule="auto"/>
              <w:ind w:left="0" w:leftChars="0" w:firstLine="0" w:firstLineChars="0"/>
              <w:jc w:val="center"/>
              <w:rPr>
                <w:rFonts w:hint="default"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序号</w:t>
            </w:r>
          </w:p>
        </w:tc>
        <w:tc>
          <w:tcPr>
            <w:tcW w:w="0" w:type="auto"/>
            <w:vMerge w:val="restart"/>
            <w:vAlign w:val="center"/>
          </w:tcPr>
          <w:p>
            <w:pPr>
              <w:spacing w:line="360" w:lineRule="auto"/>
              <w:ind w:left="0" w:leftChars="0" w:firstLine="0" w:firstLineChars="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项目名称</w:t>
            </w:r>
          </w:p>
        </w:tc>
        <w:tc>
          <w:tcPr>
            <w:tcW w:w="0" w:type="auto"/>
            <w:vMerge w:val="restart"/>
            <w:vAlign w:val="center"/>
          </w:tcPr>
          <w:p>
            <w:pPr>
              <w:spacing w:line="360" w:lineRule="auto"/>
              <w:ind w:left="0" w:leftChars="0" w:firstLine="0" w:firstLineChars="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vAlign w:val="center"/>
          </w:tcPr>
          <w:p>
            <w:pPr>
              <w:spacing w:line="360" w:lineRule="auto"/>
              <w:jc w:val="center"/>
              <w:rPr>
                <w:rFonts w:asciiTheme="minorEastAsia" w:hAnsiTheme="minorEastAsia" w:eastAsiaTheme="minorEastAsia"/>
                <w:b/>
                <w:bCs/>
                <w:sz w:val="24"/>
                <w:szCs w:val="24"/>
              </w:rPr>
            </w:pPr>
          </w:p>
        </w:tc>
        <w:tc>
          <w:tcPr>
            <w:tcW w:w="0" w:type="auto"/>
            <w:vMerge w:val="continue"/>
            <w:vAlign w:val="center"/>
          </w:tcPr>
          <w:p>
            <w:pPr>
              <w:spacing w:line="360" w:lineRule="auto"/>
              <w:jc w:val="center"/>
              <w:rPr>
                <w:rFonts w:asciiTheme="minorEastAsia" w:hAnsiTheme="minorEastAsia" w:eastAsiaTheme="minorEastAsia"/>
                <w:b/>
                <w:bCs/>
                <w:sz w:val="24"/>
                <w:szCs w:val="24"/>
              </w:rPr>
            </w:pPr>
          </w:p>
        </w:tc>
        <w:tc>
          <w:tcPr>
            <w:tcW w:w="0" w:type="auto"/>
            <w:vMerge w:val="continue"/>
            <w:vAlign w:val="center"/>
          </w:tcPr>
          <w:p>
            <w:pPr>
              <w:spacing w:line="360" w:lineRule="auto"/>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spacing w:line="360" w:lineRule="auto"/>
              <w:ind w:left="0" w:leftChars="0" w:firstLine="0" w:firstLineChars="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asciiTheme="minorEastAsia" w:hAnsiTheme="minorEastAsia" w:eastAsiaTheme="minorEastAsia"/>
                <w:sz w:val="24"/>
                <w:szCs w:val="24"/>
              </w:rPr>
            </w:pPr>
            <w:r>
              <w:rPr>
                <w:rFonts w:hint="eastAsia" w:asciiTheme="minorEastAsia" w:hAnsiTheme="minorEastAsia" w:eastAsiaTheme="minorEastAsia"/>
                <w:bCs/>
                <w:color w:val="333333"/>
                <w:sz w:val="24"/>
                <w:szCs w:val="24"/>
                <w:shd w:val="clear" w:color="auto" w:fill="FFFFFF"/>
              </w:rPr>
              <w:t>企业吸纳建档立卡贫困人口、高校毕业生、退役军人等重点群体就业享受税收优惠的信息咨询服务</w:t>
            </w:r>
          </w:p>
        </w:tc>
        <w:tc>
          <w:tcPr>
            <w:tcW w:w="0" w:type="auto"/>
            <w:vAlign w:val="center"/>
          </w:tcPr>
          <w:p>
            <w:pPr>
              <w:spacing w:line="360" w:lineRule="auto"/>
              <w:ind w:left="0" w:leftChars="0" w:firstLine="0" w:firstLineChars="0"/>
              <w:jc w:val="both"/>
              <w:rPr>
                <w:sz w:val="24"/>
                <w:szCs w:val="24"/>
              </w:rPr>
            </w:pPr>
            <w:r>
              <w:rPr>
                <w:rFonts w:hint="eastAsia"/>
                <w:sz w:val="24"/>
                <w:szCs w:val="24"/>
              </w:rPr>
              <w:t xml:space="preserve">甲方成功获得政府相关部门补贴资金的 </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0" w:type="auto"/>
            <w:vAlign w:val="center"/>
          </w:tcPr>
          <w:p>
            <w:pPr>
              <w:ind w:left="0" w:leftChars="0" w:firstLine="0" w:firstLineChars="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0" w:type="auto"/>
            <w:vAlign w:val="center"/>
          </w:tcPr>
          <w:p>
            <w:pPr>
              <w:jc w:val="center"/>
              <w:rPr>
                <w:rFonts w:asciiTheme="minorEastAsia" w:hAnsiTheme="minorEastAsia" w:eastAsiaTheme="minorEastAsia"/>
                <w:bCs/>
                <w:color w:val="333333"/>
                <w:sz w:val="24"/>
                <w:szCs w:val="24"/>
                <w:shd w:val="clear" w:color="auto" w:fill="FFFFFF"/>
              </w:rPr>
            </w:pPr>
            <w:r>
              <w:rPr>
                <w:rFonts w:hint="eastAsia" w:asciiTheme="minorEastAsia" w:hAnsiTheme="minorEastAsia" w:eastAsiaTheme="minorEastAsia"/>
                <w:bCs/>
                <w:color w:val="333333"/>
                <w:sz w:val="24"/>
                <w:szCs w:val="24"/>
                <w:shd w:val="clear" w:color="auto" w:fill="FFFFFF"/>
              </w:rPr>
              <w:t>企业吸纳脱贫劳动力人员社会保险补贴</w:t>
            </w:r>
          </w:p>
        </w:tc>
        <w:tc>
          <w:tcPr>
            <w:tcW w:w="0" w:type="auto"/>
          </w:tcPr>
          <w:p>
            <w:pPr>
              <w:ind w:left="0" w:leftChars="0" w:firstLine="0" w:firstLineChars="0"/>
              <w:rPr>
                <w:sz w:val="24"/>
                <w:szCs w:val="24"/>
              </w:rPr>
            </w:pPr>
            <w:r>
              <w:rPr>
                <w:rFonts w:hint="eastAsia"/>
                <w:sz w:val="24"/>
                <w:szCs w:val="24"/>
              </w:rPr>
              <w:t xml:space="preserve">甲方成功获得政府相关部门补贴资金的 </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0" w:type="auto"/>
            <w:vAlign w:val="center"/>
          </w:tcPr>
          <w:p>
            <w:pPr>
              <w:ind w:left="0" w:leftChars="0" w:firstLine="0" w:firstLineChars="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0" w:type="auto"/>
            <w:vAlign w:val="center"/>
          </w:tcPr>
          <w:p>
            <w:pPr>
              <w:jc w:val="center"/>
              <w:rPr>
                <w:rFonts w:asciiTheme="minorEastAsia" w:hAnsiTheme="minorEastAsia" w:eastAsiaTheme="minorEastAsia"/>
                <w:bCs/>
                <w:color w:val="333333"/>
                <w:sz w:val="24"/>
                <w:szCs w:val="24"/>
                <w:shd w:val="clear" w:color="auto" w:fill="FFFFFF"/>
              </w:rPr>
            </w:pPr>
            <w:r>
              <w:rPr>
                <w:rFonts w:hint="eastAsia" w:asciiTheme="minorEastAsia" w:hAnsiTheme="minorEastAsia" w:eastAsiaTheme="minorEastAsia"/>
                <w:bCs/>
                <w:color w:val="333333"/>
                <w:sz w:val="24"/>
                <w:szCs w:val="24"/>
                <w:shd w:val="clear" w:color="auto" w:fill="FFFFFF"/>
              </w:rPr>
              <w:t>企业吸纳脱贫劳动力就业补贴</w:t>
            </w:r>
          </w:p>
        </w:tc>
        <w:tc>
          <w:tcPr>
            <w:tcW w:w="0" w:type="auto"/>
          </w:tcPr>
          <w:p>
            <w:pPr>
              <w:ind w:left="0" w:leftChars="0" w:firstLine="0" w:firstLineChars="0"/>
              <w:rPr>
                <w:sz w:val="24"/>
                <w:szCs w:val="24"/>
              </w:rPr>
            </w:pPr>
            <w:r>
              <w:rPr>
                <w:rFonts w:hint="eastAsia"/>
                <w:sz w:val="24"/>
                <w:szCs w:val="24"/>
              </w:rPr>
              <w:t xml:space="preserve">甲方成功获得政府相关部门补贴资金的 </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0" w:type="auto"/>
            <w:vAlign w:val="center"/>
          </w:tcPr>
          <w:p>
            <w:pPr>
              <w:ind w:left="0" w:leftChars="0" w:firstLine="0" w:firstLineChars="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0" w:type="auto"/>
            <w:vAlign w:val="center"/>
          </w:tcPr>
          <w:p>
            <w:pPr>
              <w:jc w:val="center"/>
              <w:rPr>
                <w:rFonts w:asciiTheme="minorEastAsia" w:hAnsiTheme="minorEastAsia" w:eastAsiaTheme="minorEastAsia"/>
                <w:bCs/>
                <w:color w:val="333333"/>
                <w:sz w:val="24"/>
                <w:szCs w:val="24"/>
                <w:shd w:val="clear" w:color="auto" w:fill="FFFFFF"/>
              </w:rPr>
            </w:pPr>
            <w:r>
              <w:rPr>
                <w:rFonts w:hint="eastAsia" w:asciiTheme="minorEastAsia" w:hAnsiTheme="minorEastAsia" w:eastAsiaTheme="minorEastAsia"/>
                <w:bCs/>
                <w:color w:val="333333"/>
                <w:sz w:val="24"/>
                <w:szCs w:val="24"/>
                <w:shd w:val="clear" w:color="auto" w:fill="FFFFFF"/>
              </w:rPr>
              <w:t>企业吸纳高校毕业生社会保险补贴</w:t>
            </w:r>
          </w:p>
        </w:tc>
        <w:tc>
          <w:tcPr>
            <w:tcW w:w="0" w:type="auto"/>
          </w:tcPr>
          <w:p>
            <w:pPr>
              <w:ind w:left="0" w:leftChars="0" w:firstLine="0" w:firstLineChars="0"/>
              <w:rPr>
                <w:sz w:val="24"/>
                <w:szCs w:val="24"/>
              </w:rPr>
            </w:pPr>
            <w:r>
              <w:rPr>
                <w:rFonts w:hint="eastAsia"/>
                <w:sz w:val="24"/>
                <w:szCs w:val="24"/>
              </w:rPr>
              <w:t xml:space="preserve">甲方成功获得政府相关部门补贴资金的 </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若本合同项下委托申报的项目成功，且甲方获得政府相关部门的退税或税收减免资金或社保补贴就业补贴等，甲方须向乙方支付服务费用，服务费用从集团总公司以及旗下二级、三级公司、分公司等获得退税或者减免资金或补贴的账户分别支付给乙方。服务费用金额按如上表约定比例收取。若本合同项下委托申报的项目不成功，甲方没有获得政府相关部门的退税或税收减免资金或社保补贴就业补贴等，甲方无须向乙方支付服务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w:t>
      </w:r>
      <w:r>
        <w:rPr>
          <w:rFonts w:hint="eastAsia" w:ascii="宋体" w:hAnsi="宋体" w:cs="宋体"/>
          <w:color w:val="auto"/>
          <w:sz w:val="24"/>
          <w:szCs w:val="24"/>
          <w:highlight w:val="none"/>
          <w:lang w:val="en-US" w:eastAsia="zh-CN"/>
        </w:rPr>
        <w:t>付款方式：</w:t>
      </w:r>
      <w:r>
        <w:rPr>
          <w:rFonts w:hint="eastAsia" w:ascii="宋体" w:hAnsi="宋体" w:eastAsia="宋体" w:cs="宋体"/>
          <w:color w:val="auto"/>
          <w:sz w:val="24"/>
          <w:szCs w:val="24"/>
          <w:highlight w:val="none"/>
          <w:lang w:eastAsia="zh-CN"/>
        </w:rPr>
        <w:t>本合同项下项目前期乙方不向甲方进行任何形式的收费，每个项目都采取独立结算方式；经乙方完成本合同项下项目相关工作，使得甲方获得政府相关部门的退税或社保补贴就业补贴等且资金到达甲方银行账户后</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或甲方在集团总公司以及旗下二级、三级公司、分公司等所属的电子税务局申报退抵税成功</w:t>
      </w:r>
      <w:r>
        <w:rPr>
          <w:rFonts w:hint="eastAsia" w:ascii="宋体" w:hAnsi="宋体" w:cs="宋体"/>
          <w:color w:val="auto"/>
          <w:sz w:val="24"/>
          <w:szCs w:val="24"/>
          <w:highlight w:val="none"/>
          <w:lang w:val="en-US" w:eastAsia="zh-CN"/>
        </w:rPr>
        <w:t>后，甲方通知乙方提交支付申请材料（如请款函、发票、合同复印件、结算清单等）。乙方自接到甲方通知之日起7个工作日内开具等额增值税专用发票及有关材料交甲方</w:t>
      </w:r>
      <w:r>
        <w:rPr>
          <w:rFonts w:hint="eastAsia" w:ascii="宋体" w:hAnsi="宋体" w:eastAsia="宋体" w:cs="宋体"/>
          <w:color w:val="auto"/>
          <w:sz w:val="24"/>
          <w:szCs w:val="24"/>
          <w:highlight w:val="none"/>
          <w:lang w:eastAsia="zh-CN"/>
        </w:rPr>
        <w:t>，甲方收到</w:t>
      </w:r>
      <w:r>
        <w:rPr>
          <w:rFonts w:hint="eastAsia" w:ascii="宋体" w:hAnsi="宋体" w:eastAsia="宋体" w:cs="宋体"/>
          <w:color w:val="auto"/>
          <w:sz w:val="24"/>
          <w:szCs w:val="24"/>
          <w:highlight w:val="none"/>
          <w:lang w:val="en-US" w:eastAsia="zh-CN"/>
        </w:rPr>
        <w:t>符合要求的</w:t>
      </w:r>
      <w:r>
        <w:rPr>
          <w:rFonts w:hint="eastAsia" w:ascii="宋体" w:hAnsi="宋体" w:eastAsia="宋体" w:cs="宋体"/>
          <w:color w:val="auto"/>
          <w:sz w:val="24"/>
          <w:szCs w:val="24"/>
          <w:highlight w:val="none"/>
          <w:lang w:eastAsia="zh-CN"/>
        </w:rPr>
        <w:t>支付申请材料后</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于7个工作日内</w:t>
      </w:r>
      <w:r>
        <w:rPr>
          <w:rFonts w:hint="eastAsia" w:ascii="宋体" w:hAnsi="宋体" w:eastAsia="宋体" w:cs="宋体"/>
          <w:color w:val="auto"/>
          <w:sz w:val="24"/>
          <w:szCs w:val="24"/>
          <w:highlight w:val="none"/>
          <w:lang w:eastAsia="zh-CN"/>
        </w:rPr>
        <w:t>向乙方支付项目服务费用。</w:t>
      </w:r>
      <w:r>
        <w:rPr>
          <w:rFonts w:hint="eastAsia" w:ascii="宋体" w:hAnsi="宋体" w:cs="宋体"/>
          <w:color w:val="auto"/>
          <w:sz w:val="24"/>
          <w:szCs w:val="24"/>
          <w:highlight w:val="none"/>
          <w:lang w:val="en-US" w:eastAsia="zh-CN"/>
        </w:rPr>
        <w:t>本合同金额为含税价。</w:t>
      </w:r>
      <w:r>
        <w:rPr>
          <w:rFonts w:hint="eastAsia" w:ascii="宋体" w:hAnsi="宋体" w:eastAsia="宋体" w:cs="宋体"/>
          <w:color w:val="auto"/>
          <w:sz w:val="24"/>
          <w:szCs w:val="24"/>
          <w:highlight w:val="none"/>
          <w:lang w:eastAsia="zh-CN"/>
        </w:rPr>
        <w:t>以上款项支付期间如遇国家法定节假日则根据节假日时长顺延支付。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lang w:eastAsia="zh-CN"/>
        </w:rPr>
        <w:t>）乙方应本着积极、认真负责的态度完成本合同项目相关工作,并为甲方充分获取政府相关部门的退税或税收减免申报成功或相关补贴。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乙方收款账户信息如下：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账户名称：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账户：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开户行：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三、双方权利与义务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（一）甲方权利与义务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1.甲方应向乙方及时提供本合同项下项目必要的汇集资料。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2.在本合同有效期内，若服务的客户有任何一项发生变化时（如：人员增减，社保缴纳记录变化等），甲方必须及时通知乙方。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3.甲方向乙方承诺其向乙方提供的信息资料真实。如若材料不实后果甲方自负。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4.“企业吸纳建档立卡贫困人员等重点群体就业享受税收优惠”项目的政府相关部门的退税或税收减免资金到达甲方公司账户或甲方在政府相关部门申报减免税额或申请相关补贴成功</w:t>
      </w:r>
      <w:r>
        <w:rPr>
          <w:rFonts w:hint="eastAsia" w:ascii="宋体" w:hAnsi="宋体" w:cs="宋体"/>
          <w:color w:val="auto"/>
          <w:sz w:val="24"/>
          <w:szCs w:val="24"/>
          <w:highlight w:val="none"/>
          <w:lang w:val="en-US" w:eastAsia="zh-CN"/>
        </w:rPr>
        <w:t>后通知乙方提交支付申请材料，甲方收到符合条件的材料</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于7个工作日内</w:t>
      </w:r>
      <w:r>
        <w:rPr>
          <w:rFonts w:hint="eastAsia" w:ascii="宋体" w:hAnsi="宋体" w:eastAsia="宋体" w:cs="宋体"/>
          <w:color w:val="auto"/>
          <w:sz w:val="24"/>
          <w:szCs w:val="24"/>
          <w:highlight w:val="none"/>
          <w:lang w:eastAsia="zh-CN"/>
        </w:rPr>
        <w:t>一次性向乙方支付该项目全额服务费用。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（二）乙方权利与义务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乙方应协助甲方进行申报材料的验证工作，并承诺不随意更改甲方资料，对其协助甲方准备的信息资料的真实性、有效性、合法性负责。如乙方对甲方提供材料进行随意变更或乙方提报材料不真实导致甲方被税务部门追索税款、罚款、滞纳金等情况的，乙方应承担一切责任并赔偿甲方的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2.乙方应保证其具有承接本协议项目的法定资质，并有能力依据甲方的要求完成相关工作。乙方因缺乏相应资质而给甲方造成损失的，乙方应承担相关责任。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.乙方保证其</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eastAsia="zh-CN"/>
        </w:rPr>
        <w:t>人员在合同履行期间必须遵守国家的法律、法规、政策</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接受甲方的检查监督。乙方服务人员因违反国家的法律、法规、政策及服务工作规范，给自身或者他人造成损失的，由该人员承担责任，根据法律法规，乙方需承担的，乙方应予承担。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乙方不得将本协议的内容向甲乙双方以外的、与签订和履行本协议无关的任何第三方透露，不得泄露甲方的商业秘密（包括本协议及其附件和协议签订前的各项方案），否则乙方应承担相关的违约责任并赔偿甲方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5.乙方收到甲方通知提交支付申请材料后，应于7个工作日内提交相应材料（如付款申请函、增值税发票、合同复印件等）。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四、</w:t>
      </w:r>
      <w:r>
        <w:rPr>
          <w:rFonts w:hint="eastAsia" w:ascii="宋体" w:hAnsi="宋体" w:cs="宋体"/>
          <w:color w:val="auto"/>
          <w:sz w:val="24"/>
          <w:szCs w:val="24"/>
          <w:highlight w:val="none"/>
          <w:lang w:val="en-US" w:eastAsia="zh-CN"/>
        </w:rPr>
        <w:t>保密条约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甲、乙双方都对本合同项下合作项目的技术、材料和信息负有保密责任。未经甲乙双方一致同意，甲乙双方中任何一方不得向第三方泄露合作项目的保密信息。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2、甲乙双方中任一方在本合同有效期内获得合同相对方的任何信息和文件仅用于本合同项下项目的申报，且应防止第三方接触上述信息和文件，对这些信息和文件的处置应视同于各自的商业秘密。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3、甲乙双方的保密义务不涉及公众信息，或者通过合法途径，在不违反保密义务情况下从第三者获得的信息。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4、如根据法律规定或国家主管机构要求，合同一方需要披露所获得的某些保密信息，上述保密义务不适用。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5、上述保密义务不因本合同的终止、中止、无效而无效。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五、</w:t>
      </w:r>
      <w:r>
        <w:rPr>
          <w:rFonts w:hint="eastAsia" w:ascii="宋体" w:hAnsi="宋体" w:cs="宋体"/>
          <w:color w:val="auto"/>
          <w:sz w:val="24"/>
          <w:szCs w:val="24"/>
          <w:highlight w:val="none"/>
          <w:lang w:val="en-US" w:eastAsia="zh-CN"/>
        </w:rPr>
        <w:t>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1、本合同经甲乙双方签字盖章生效后，甲乙双方不得随意解除或终止履行。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2、如甲方无正当理由未能按期支付服务费用的，每迟延一日，按未付款项的万分之三支付滞纳金。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3、如乙方违反本合同约定，应赔偿由此给甲方造成的损失。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六、</w:t>
      </w:r>
      <w:r>
        <w:rPr>
          <w:rFonts w:hint="eastAsia" w:ascii="宋体" w:hAnsi="宋体" w:cs="宋体"/>
          <w:color w:val="auto"/>
          <w:sz w:val="24"/>
          <w:szCs w:val="24"/>
          <w:highlight w:val="none"/>
          <w:lang w:val="en-US" w:eastAsia="zh-CN"/>
        </w:rPr>
        <w:t>争议解决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双方如有异议，双方协商解决。如双方协商不成，</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lang w:eastAsia="zh-CN"/>
        </w:rPr>
        <w:t>向甲方所在地</w:t>
      </w:r>
      <w:r>
        <w:rPr>
          <w:rFonts w:hint="eastAsia" w:ascii="宋体" w:hAnsi="宋体" w:eastAsia="宋体" w:cs="宋体"/>
          <w:color w:val="auto"/>
          <w:sz w:val="24"/>
          <w:szCs w:val="24"/>
          <w:highlight w:val="none"/>
          <w:lang w:val="en-US" w:eastAsia="zh-CN"/>
        </w:rPr>
        <w:t>有管辖权的人民</w:t>
      </w:r>
      <w:r>
        <w:rPr>
          <w:rFonts w:hint="eastAsia" w:ascii="宋体" w:hAnsi="宋体" w:eastAsia="宋体" w:cs="宋体"/>
          <w:color w:val="auto"/>
          <w:sz w:val="24"/>
          <w:szCs w:val="24"/>
          <w:highlight w:val="none"/>
          <w:lang w:eastAsia="zh-CN"/>
        </w:rPr>
        <w:t>法院提起诉讼。由此产生的一切合理费用（包括但不限于仲裁费、律师费、保全费、鉴定费、差旅费等等）均由违约方承担。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2、本合同各项条款均具有独立性，其中任何条款或规定无效，并不影响其他条款或规定的效力。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3、本合同未尽事宜，甲乙双方可签订补充协议，补充协议与本合同具有同等法律效力。合同中除文本空格、甲乙双方签章信息外，均为印刷字体。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甲乙双方在合同中载明的联系地址、联系电话和联系人为各方的通信地址及联系电话、联系人，任何一方变更的，应在变更之日起2个工作日内以书面形式通知其他方，否则变更方应承担通知无法送达的责任。一方按上述地址寄出的通知与书面材料，在交寄后第三天即视为对方实际收到。如因地址不正确或者对方拒收等原因而被退回的，则退回之日视为送达之日。本合同载明的双方的联系地址、联系电话和联系人同时作为仲裁机构、</w:t>
      </w:r>
      <w:r>
        <w:rPr>
          <w:rFonts w:hint="eastAsia" w:ascii="宋体" w:hAnsi="宋体" w:eastAsia="宋体" w:cs="宋体"/>
          <w:color w:val="auto"/>
          <w:sz w:val="24"/>
          <w:szCs w:val="24"/>
          <w:highlight w:val="none"/>
          <w:lang w:val="en-US" w:eastAsia="zh-CN"/>
        </w:rPr>
        <w:t>法院</w:t>
      </w:r>
      <w:r>
        <w:rPr>
          <w:rFonts w:hint="eastAsia" w:ascii="宋体" w:hAnsi="宋体" w:eastAsia="宋体" w:cs="宋体"/>
          <w:color w:val="auto"/>
          <w:sz w:val="24"/>
          <w:szCs w:val="24"/>
          <w:highlight w:val="none"/>
          <w:lang w:eastAsia="zh-CN"/>
        </w:rPr>
        <w:t>相关法律文书的有效送达地址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七、</w:t>
      </w:r>
      <w:r>
        <w:rPr>
          <w:rFonts w:hint="eastAsia" w:ascii="宋体" w:hAnsi="宋体" w:cs="宋体"/>
          <w:color w:val="auto"/>
          <w:sz w:val="24"/>
          <w:szCs w:val="24"/>
          <w:highlight w:val="none"/>
          <w:lang w:val="en-US" w:eastAsia="zh-CN"/>
        </w:rPr>
        <w:t>其他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1、本合同自签订生效之日起，有效期叁年。在本合同有效期限届满后，如相关政府部门等政策继续延续，本合同的有效期限自动延长一年。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2、本合同签署后，合同期内由乙方为甲方提供独家咨询与辅导服务，甲方不得再以本合同下的服务内容再与第三方合作。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3、本合同一式肆份，每份具有同等法律效力，甲、乙双方各执贰份，本合同经甲乙双方签字盖章后生效。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甲方（盖章）：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法定代表人或代理人（签字）：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乙方（盖章）：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法定代表人或代理人（签字）：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合同签订日期：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sectPr>
      <w:headerReference r:id="rId15" w:type="first"/>
      <w:footerReference r:id="rId18" w:type="first"/>
      <w:headerReference r:id="rId14" w:type="default"/>
      <w:footerReference r:id="rId16" w:type="default"/>
      <w:footerReference r:id="rId17" w:type="even"/>
      <w:pgSz w:w="11906" w:h="16838"/>
      <w:pgMar w:top="1134" w:right="1134" w:bottom="1134" w:left="1134" w:header="680" w:footer="680" w:gutter="0"/>
      <w:pgNumType w:fmt="decimal"/>
      <w:cols w:space="720" w:num="1"/>
      <w:titlePg/>
      <w:docGrid w:linePitch="33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MingLiU">
    <w:altName w:val="PMingLiU-ExtB"/>
    <w:panose1 w:val="02020509000000000000"/>
    <w:charset w:val="88"/>
    <w:family w:val="modern"/>
    <w:pitch w:val="default"/>
    <w:sig w:usb0="00000000" w:usb1="00000000" w:usb2="00000016" w:usb3="00000000" w:csb0="00100001" w:csb1="00000000"/>
  </w:font>
  <w:font w:name="Verdana">
    <w:panose1 w:val="020B0604030504040204"/>
    <w:charset w:val="00"/>
    <w:family w:val="auto"/>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Ђ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50"/>
      </w:rPr>
    </w:pPr>
    <w:r>
      <w:fldChar w:fldCharType="begin"/>
    </w:r>
    <w:r>
      <w:rPr>
        <w:rStyle w:val="50"/>
      </w:rPr>
      <w:instrText xml:space="preserve">PAGE  </w:instrText>
    </w:r>
    <w:r>
      <w:fldChar w:fldCharType="separate"/>
    </w:r>
    <w:r>
      <w:rPr>
        <w:rStyle w:val="50"/>
      </w:rPr>
      <w:t>19</w:t>
    </w:r>
    <w:r>
      <w:fldChar w:fldCharType="end"/>
    </w:r>
  </w:p>
  <w:p>
    <w:pPr>
      <w:pStyle w:val="28"/>
      <w:jc w:val="center"/>
    </w:pP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50"/>
      </w:rPr>
    </w:pPr>
    <w:r>
      <w:fldChar w:fldCharType="begin"/>
    </w:r>
    <w:r>
      <w:rPr>
        <w:rStyle w:val="50"/>
      </w:rPr>
      <w:instrText xml:space="preserve">PAGE  </w:instrText>
    </w:r>
    <w:r>
      <w:fldChar w:fldCharType="separate"/>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50"/>
      </w:rPr>
    </w:pPr>
  </w:p>
  <w:p>
    <w:pPr>
      <w:pStyle w:val="28"/>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jc w:val="center"/>
                          </w:pPr>
                          <w:r>
                            <w:fldChar w:fldCharType="begin"/>
                          </w:r>
                          <w:r>
                            <w:instrText xml:space="preserve"> PAGE   \* MERGEFORMAT </w:instrText>
                          </w:r>
                          <w:r>
                            <w:fldChar w:fldCharType="separate"/>
                          </w:r>
                          <w:r>
                            <w:rPr>
                              <w:lang w:val="zh-CN"/>
                            </w:rPr>
                            <w:t>12</w:t>
                          </w:r>
                          <w: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&#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VSdQNIBAACmAwAADgAAAAAAAAABACAAAAAi&#10;AQAAZHJzL2Uyb0RvYy54bWxQSwUGAAAAAAYABgBZAQAAZgUAAAAA&#10;">
              <v:fill on="f" focussize="0,0"/>
              <v:stroke on="f" weight="1.25pt"/>
              <v:imagedata o:title=""/>
              <o:lock v:ext="edit" aspectratio="f"/>
              <v:textbox inset="0mm,0mm,0mm,0mm" style="mso-fit-shape-to-text:t;">
                <w:txbxContent>
                  <w:p>
                    <w:pPr>
                      <w:pStyle w:val="28"/>
                      <w:jc w:val="center"/>
                    </w:pPr>
                    <w:r>
                      <w:fldChar w:fldCharType="begin"/>
                    </w:r>
                    <w:r>
                      <w:instrText xml:space="preserve"> PAGE   \* MERGEFORMAT </w:instrText>
                    </w:r>
                    <w:r>
                      <w:fldChar w:fldCharType="separate"/>
                    </w:r>
                    <w:r>
                      <w:rPr>
                        <w:lang w:val="zh-CN"/>
                      </w:rPr>
                      <w:t>12</w:t>
                    </w:r>
                    <w:r>
                      <w:fldChar w:fldCharType="end"/>
                    </w:r>
                  </w:p>
                </w:txbxContent>
              </v:textbox>
            </v:shape>
          </w:pict>
        </mc:Fallback>
      </mc:AlternateContent>
    </w:r>
  </w:p>
  <w:p>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50"/>
      </w:rPr>
    </w:pPr>
    <w:r>
      <w:fldChar w:fldCharType="begin"/>
    </w:r>
    <w:r>
      <w:rPr>
        <w:rStyle w:val="50"/>
      </w:rPr>
      <w:instrText xml:space="preserve">PAGE  </w:instrText>
    </w:r>
    <w:r>
      <w:fldChar w:fldCharType="end"/>
    </w:r>
  </w:p>
  <w:p>
    <w:pPr>
      <w:pStyle w:val="2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Style w:val="5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40</w:t>
                          </w:r>
                          <w: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DTquYg1AEAAKYDAAAOAAAAAAAAAAEAIAAA&#10;ACIBAABkcnMvZTJvRG9jLnhtbFBLBQYAAAAABgAGAFkBAABoBQAA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40</w:t>
                    </w:r>
                    <w:r>
                      <w:fldChar w:fldCharType="end"/>
                    </w:r>
                  </w:p>
                </w:txbxContent>
              </v:textbox>
            </v:shape>
          </w:pict>
        </mc:Fallback>
      </mc:AlternateContent>
    </w:r>
  </w:p>
  <w:p>
    <w:pPr>
      <w:pStyle w:val="28"/>
      <w:ind w:right="360"/>
      <w:jc w:val="both"/>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43</w:t>
                          </w:r>
                          <w:r>
                            <w:fldChar w:fldCharType="end"/>
                          </w:r>
                        </w:p>
                      </w:txbxContent>
                    </wps:txbx>
                    <wps:bodyPr wrap="none" lIns="0" tIns="0" rIns="0" bIns="0" upright="0">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6Gxn8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rihx3OLAL9+/XX78uvz8SpbV&#10;y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h6Gxn8oBAACcAwAADgAAAAAAAAABACAAAAAeAQAAZHJzL2Uyb0Rv&#10;Yy54bWxQSwUGAAAAAAYABgBZAQAAWgU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43</w:t>
                    </w:r>
                    <w:r>
                      <w:fldChar w:fldCharType="end"/>
                    </w:r>
                  </w:p>
                </w:txbxContent>
              </v:textbox>
            </v:shape>
          </w:pict>
        </mc:Fallback>
      </mc:AlternateContent>
    </w:r>
  </w:p>
  <w:p>
    <w:pPr>
      <w:pStyle w:val="2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0" distR="0" simplePos="0" relativeHeight="251660288" behindDoc="0" locked="0" layoutInCell="0" allowOverlap="1">
              <wp:simplePos x="0" y="0"/>
              <wp:positionH relativeFrom="margin">
                <wp:align>center</wp:align>
              </wp:positionH>
              <wp:positionV relativeFrom="paragraph">
                <wp:posOffset>0</wp:posOffset>
              </wp:positionV>
              <wp:extent cx="55880" cy="147955"/>
              <wp:effectExtent l="0" t="0" r="0" b="0"/>
              <wp:wrapSquare wrapText="bothSides"/>
              <wp:docPr id="1" name="文本框 1025"/>
              <wp:cNvGraphicFramePr/>
              <a:graphic xmlns:a="http://schemas.openxmlformats.org/drawingml/2006/main">
                <a:graphicData uri="http://schemas.microsoft.com/office/word/2010/wordprocessingShape">
                  <wps:wsp>
                    <wps:cNvSpPr txBox="1"/>
                    <wps:spPr>
                      <a:xfrm>
                        <a:off x="0" y="0"/>
                        <a:ext cx="55880" cy="147955"/>
                      </a:xfrm>
                      <a:prstGeom prst="rect">
                        <a:avLst/>
                      </a:prstGeom>
                      <a:noFill/>
                      <a:ln>
                        <a:noFill/>
                      </a:ln>
                    </wps:spPr>
                    <wps:txbx>
                      <w:txbxContent>
                        <w:p>
                          <w:pPr>
                            <w:pStyle w:val="28"/>
                            <w:rPr>
                              <w:rStyle w:val="50"/>
                            </w:rPr>
                          </w:pPr>
                          <w:r>
                            <w:rPr>
                              <w:rStyle w:val="50"/>
                            </w:rPr>
                            <w:fldChar w:fldCharType="begin"/>
                          </w:r>
                          <w:r>
                            <w:rPr>
                              <w:rStyle w:val="50"/>
                            </w:rPr>
                            <w:instrText xml:space="preserve">PAGE  </w:instrText>
                          </w:r>
                          <w:r>
                            <w:rPr>
                              <w:rStyle w:val="50"/>
                            </w:rPr>
                            <w:fldChar w:fldCharType="separate"/>
                          </w:r>
                          <w:r>
                            <w:rPr>
                              <w:rStyle w:val="50"/>
                            </w:rPr>
                            <w:t>1</w:t>
                          </w:r>
                          <w:r>
                            <w:rPr>
                              <w:rStyle w:val="50"/>
                            </w:rPr>
                            <w:fldChar w:fldCharType="end"/>
                          </w:r>
                        </w:p>
                      </w:txbxContent>
                    </wps:txbx>
                    <wps:bodyPr lIns="0" tIns="0" rIns="0" bIns="0" upright="1"/>
                  </wps:wsp>
                </a:graphicData>
              </a:graphic>
            </wp:anchor>
          </w:drawing>
        </mc:Choice>
        <mc:Fallback>
          <w:pict>
            <v:shape id="文本框 1025" o:spid="_x0000_s1026" o:spt="202" type="#_x0000_t202" style="position:absolute;left:0pt;margin-top:0pt;height:11.65pt;width:4.4pt;mso-position-horizontal:center;mso-position-horizontal-relative:margin;mso-wrap-distance-bottom:0pt;mso-wrap-distance-left:0pt;mso-wrap-distance-right:0pt;mso-wrap-distance-top:0pt;z-index:251660288;mso-width-relative:page;mso-height-relative:page;" filled="f" stroked="f" coordsize="21600,21600" o:allowincell="f" o:gfxdata="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aCqptMAAAACAQAADwAAAAAAAAABACAAAAAiAAAAZHJzL2Rvd25yZXYueG1sUEsBAhQAFAAA&#10;AAgAh07iQIpwwDy7AQAAcwMAAA4AAAAAAAAAAQAgAAAAIgEAAGRycy9lMm9Eb2MueG1sUEsFBgAA&#10;AAAGAAYAWQEAAE8FAAAAAA==&#10;">
              <v:fill on="f" focussize="0,0"/>
              <v:stroke on="f"/>
              <v:imagedata o:title=""/>
              <o:lock v:ext="edit" aspectratio="f"/>
              <v:textbox inset="0mm,0mm,0mm,0mm">
                <w:txbxContent>
                  <w:p>
                    <w:pPr>
                      <w:pStyle w:val="28"/>
                      <w:rPr>
                        <w:rStyle w:val="50"/>
                      </w:rPr>
                    </w:pPr>
                    <w:r>
                      <w:rPr>
                        <w:rStyle w:val="50"/>
                      </w:rPr>
                      <w:fldChar w:fldCharType="begin"/>
                    </w:r>
                    <w:r>
                      <w:rPr>
                        <w:rStyle w:val="50"/>
                      </w:rPr>
                      <w:instrText xml:space="preserve">PAGE  </w:instrText>
                    </w:r>
                    <w:r>
                      <w:rPr>
                        <w:rStyle w:val="50"/>
                      </w:rPr>
                      <w:fldChar w:fldCharType="separate"/>
                    </w:r>
                    <w:r>
                      <w:rPr>
                        <w:rStyle w:val="50"/>
                      </w:rPr>
                      <w:t>1</w:t>
                    </w:r>
                    <w:r>
                      <w:rPr>
                        <w:rStyle w:val="50"/>
                      </w:rPr>
                      <w:fldChar w:fldCharType="end"/>
                    </w:r>
                  </w:p>
                </w:txbxContent>
              </v:textbox>
              <w10:wrap type="squar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MaW6jLAQAAnAMAAA4AAAAAAAAAAQAgAAAAHgEAAGRycy9lMm9E&#10;b2MueG1sUEsFBgAAAAAGAAYAWQEAAFsFA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42</w:t>
                    </w:r>
                    <w:r>
                      <w:fldChar w:fldCharType="end"/>
                    </w:r>
                  </w:p>
                </w:txbxContent>
              </v:textbox>
            </v:shape>
          </w:pict>
        </mc:Fallback>
      </mc:AlternateContent>
    </w:r>
  </w:p>
  <w:p>
    <w:pPr>
      <w:pStyle w:val="2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1980"/>
      <w:jc w:val="right"/>
      <w:rPr>
        <w:rFonts w:ascii="方正仿宋简体" w:hAnsi="方正仿宋简体" w:eastAsia="方正仿宋简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3FFCD2"/>
    <w:multiLevelType w:val="singleLevel"/>
    <w:tmpl w:val="D83FFCD2"/>
    <w:lvl w:ilvl="0" w:tentative="0">
      <w:start w:val="1"/>
      <w:numFmt w:val="decimal"/>
      <w:lvlText w:val="%1."/>
      <w:lvlJc w:val="left"/>
      <w:pPr>
        <w:tabs>
          <w:tab w:val="left" w:pos="312"/>
        </w:tabs>
        <w:ind w:left="-60"/>
      </w:pPr>
      <w:rPr>
        <w:rFonts w:hint="default"/>
        <w:highlight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NotTrackMoves/>
  <w:trackRevisions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MDdhMzQxNzA3NzZiZTU0ZjhjOWFmNzAwNjJkNmEifQ=="/>
  </w:docVars>
  <w:rsids>
    <w:rsidRoot w:val="00C60162"/>
    <w:rsid w:val="00000960"/>
    <w:rsid w:val="00003934"/>
    <w:rsid w:val="000142D2"/>
    <w:rsid w:val="00014708"/>
    <w:rsid w:val="00015E99"/>
    <w:rsid w:val="00017405"/>
    <w:rsid w:val="00021194"/>
    <w:rsid w:val="00022B7F"/>
    <w:rsid w:val="0002357F"/>
    <w:rsid w:val="0002410C"/>
    <w:rsid w:val="00025159"/>
    <w:rsid w:val="0002718B"/>
    <w:rsid w:val="000306A9"/>
    <w:rsid w:val="00033F59"/>
    <w:rsid w:val="00037F93"/>
    <w:rsid w:val="000407F6"/>
    <w:rsid w:val="00041C5B"/>
    <w:rsid w:val="00042260"/>
    <w:rsid w:val="000428A6"/>
    <w:rsid w:val="00043F1A"/>
    <w:rsid w:val="000450BF"/>
    <w:rsid w:val="00045C94"/>
    <w:rsid w:val="00045FCF"/>
    <w:rsid w:val="00046A9C"/>
    <w:rsid w:val="00046C4E"/>
    <w:rsid w:val="00047520"/>
    <w:rsid w:val="000537B9"/>
    <w:rsid w:val="0005400C"/>
    <w:rsid w:val="00055B11"/>
    <w:rsid w:val="0005713B"/>
    <w:rsid w:val="000577C1"/>
    <w:rsid w:val="0006022C"/>
    <w:rsid w:val="00065FDD"/>
    <w:rsid w:val="00070B9D"/>
    <w:rsid w:val="00072475"/>
    <w:rsid w:val="00075373"/>
    <w:rsid w:val="00075756"/>
    <w:rsid w:val="00076F2E"/>
    <w:rsid w:val="0008771B"/>
    <w:rsid w:val="00094DE1"/>
    <w:rsid w:val="00095950"/>
    <w:rsid w:val="000972D3"/>
    <w:rsid w:val="000A06DB"/>
    <w:rsid w:val="000A09C2"/>
    <w:rsid w:val="000A24A8"/>
    <w:rsid w:val="000A31E5"/>
    <w:rsid w:val="000A3CB3"/>
    <w:rsid w:val="000A4669"/>
    <w:rsid w:val="000B232F"/>
    <w:rsid w:val="000B2A1B"/>
    <w:rsid w:val="000B35F9"/>
    <w:rsid w:val="000B5DE0"/>
    <w:rsid w:val="000B5F88"/>
    <w:rsid w:val="000B60AB"/>
    <w:rsid w:val="000B7917"/>
    <w:rsid w:val="000C0F9C"/>
    <w:rsid w:val="000C4CED"/>
    <w:rsid w:val="000D0531"/>
    <w:rsid w:val="000D4435"/>
    <w:rsid w:val="000D4A3D"/>
    <w:rsid w:val="000E632D"/>
    <w:rsid w:val="000F1938"/>
    <w:rsid w:val="000F23E8"/>
    <w:rsid w:val="000F532A"/>
    <w:rsid w:val="000F5C3C"/>
    <w:rsid w:val="000F600E"/>
    <w:rsid w:val="000F7E48"/>
    <w:rsid w:val="001010AD"/>
    <w:rsid w:val="00101A39"/>
    <w:rsid w:val="001026ED"/>
    <w:rsid w:val="00102DE9"/>
    <w:rsid w:val="0010421E"/>
    <w:rsid w:val="00105F0C"/>
    <w:rsid w:val="00113C18"/>
    <w:rsid w:val="00114D66"/>
    <w:rsid w:val="00114F05"/>
    <w:rsid w:val="0011654B"/>
    <w:rsid w:val="00121BDF"/>
    <w:rsid w:val="001223B1"/>
    <w:rsid w:val="001321B0"/>
    <w:rsid w:val="001331EA"/>
    <w:rsid w:val="00150F3C"/>
    <w:rsid w:val="0015199A"/>
    <w:rsid w:val="001536C8"/>
    <w:rsid w:val="00155472"/>
    <w:rsid w:val="001632C9"/>
    <w:rsid w:val="00163355"/>
    <w:rsid w:val="00165006"/>
    <w:rsid w:val="001733A3"/>
    <w:rsid w:val="00174813"/>
    <w:rsid w:val="00174F3B"/>
    <w:rsid w:val="0017557A"/>
    <w:rsid w:val="00177132"/>
    <w:rsid w:val="00183C2B"/>
    <w:rsid w:val="00184AC7"/>
    <w:rsid w:val="0018575E"/>
    <w:rsid w:val="0018797D"/>
    <w:rsid w:val="00191E07"/>
    <w:rsid w:val="001921DE"/>
    <w:rsid w:val="00192F7E"/>
    <w:rsid w:val="001939EE"/>
    <w:rsid w:val="001B239D"/>
    <w:rsid w:val="001B2A1F"/>
    <w:rsid w:val="001B3678"/>
    <w:rsid w:val="001B43CB"/>
    <w:rsid w:val="001B43F9"/>
    <w:rsid w:val="001B6E16"/>
    <w:rsid w:val="001C0123"/>
    <w:rsid w:val="001C1B95"/>
    <w:rsid w:val="001C48BA"/>
    <w:rsid w:val="001C64A3"/>
    <w:rsid w:val="001C749A"/>
    <w:rsid w:val="001D6B85"/>
    <w:rsid w:val="001E0038"/>
    <w:rsid w:val="001E0EE8"/>
    <w:rsid w:val="001E123D"/>
    <w:rsid w:val="001E2172"/>
    <w:rsid w:val="001E3426"/>
    <w:rsid w:val="001E40A9"/>
    <w:rsid w:val="001E42A5"/>
    <w:rsid w:val="001E45FD"/>
    <w:rsid w:val="001F0359"/>
    <w:rsid w:val="001F050A"/>
    <w:rsid w:val="001F2A66"/>
    <w:rsid w:val="001F55B7"/>
    <w:rsid w:val="001F6BCF"/>
    <w:rsid w:val="00204D53"/>
    <w:rsid w:val="0021170C"/>
    <w:rsid w:val="00212F28"/>
    <w:rsid w:val="00213474"/>
    <w:rsid w:val="002161BC"/>
    <w:rsid w:val="002217BE"/>
    <w:rsid w:val="00225101"/>
    <w:rsid w:val="00226238"/>
    <w:rsid w:val="002275C5"/>
    <w:rsid w:val="00227B5F"/>
    <w:rsid w:val="00231531"/>
    <w:rsid w:val="00231BD2"/>
    <w:rsid w:val="00231DA6"/>
    <w:rsid w:val="00232460"/>
    <w:rsid w:val="002332C2"/>
    <w:rsid w:val="00235C65"/>
    <w:rsid w:val="00237865"/>
    <w:rsid w:val="00237AB5"/>
    <w:rsid w:val="002412C8"/>
    <w:rsid w:val="00241912"/>
    <w:rsid w:val="002448DF"/>
    <w:rsid w:val="002456EF"/>
    <w:rsid w:val="00250F63"/>
    <w:rsid w:val="00251DFC"/>
    <w:rsid w:val="00252B76"/>
    <w:rsid w:val="00257541"/>
    <w:rsid w:val="0026048F"/>
    <w:rsid w:val="002619DF"/>
    <w:rsid w:val="002631F8"/>
    <w:rsid w:val="00263B6D"/>
    <w:rsid w:val="00265E27"/>
    <w:rsid w:val="002721D1"/>
    <w:rsid w:val="002725EE"/>
    <w:rsid w:val="00272E0D"/>
    <w:rsid w:val="002731F6"/>
    <w:rsid w:val="00276C9F"/>
    <w:rsid w:val="00277413"/>
    <w:rsid w:val="002800FA"/>
    <w:rsid w:val="002806B0"/>
    <w:rsid w:val="00280B0B"/>
    <w:rsid w:val="0028581C"/>
    <w:rsid w:val="00286CEF"/>
    <w:rsid w:val="00287855"/>
    <w:rsid w:val="00290306"/>
    <w:rsid w:val="00290A14"/>
    <w:rsid w:val="002925F7"/>
    <w:rsid w:val="002941F9"/>
    <w:rsid w:val="002951DC"/>
    <w:rsid w:val="002A3424"/>
    <w:rsid w:val="002A5179"/>
    <w:rsid w:val="002B0F69"/>
    <w:rsid w:val="002B51A0"/>
    <w:rsid w:val="002B5FDF"/>
    <w:rsid w:val="002C03F9"/>
    <w:rsid w:val="002C3239"/>
    <w:rsid w:val="002C54B9"/>
    <w:rsid w:val="002C6AE0"/>
    <w:rsid w:val="002D1C4F"/>
    <w:rsid w:val="002D584E"/>
    <w:rsid w:val="002D690A"/>
    <w:rsid w:val="002E0238"/>
    <w:rsid w:val="002E048B"/>
    <w:rsid w:val="002E270A"/>
    <w:rsid w:val="002E29FC"/>
    <w:rsid w:val="002E3CDF"/>
    <w:rsid w:val="002E4E6E"/>
    <w:rsid w:val="002F1614"/>
    <w:rsid w:val="002F17F3"/>
    <w:rsid w:val="002F4F40"/>
    <w:rsid w:val="0030206C"/>
    <w:rsid w:val="00304234"/>
    <w:rsid w:val="00307DC5"/>
    <w:rsid w:val="00310172"/>
    <w:rsid w:val="0031577C"/>
    <w:rsid w:val="003162DB"/>
    <w:rsid w:val="0032478C"/>
    <w:rsid w:val="00327522"/>
    <w:rsid w:val="00331B36"/>
    <w:rsid w:val="003342E3"/>
    <w:rsid w:val="00340B4C"/>
    <w:rsid w:val="00343058"/>
    <w:rsid w:val="003432ED"/>
    <w:rsid w:val="00343DED"/>
    <w:rsid w:val="00344B87"/>
    <w:rsid w:val="00346B05"/>
    <w:rsid w:val="003514B5"/>
    <w:rsid w:val="00351912"/>
    <w:rsid w:val="003543CA"/>
    <w:rsid w:val="00356326"/>
    <w:rsid w:val="00361526"/>
    <w:rsid w:val="003637C2"/>
    <w:rsid w:val="00370A92"/>
    <w:rsid w:val="0037135D"/>
    <w:rsid w:val="003735D6"/>
    <w:rsid w:val="00373D5F"/>
    <w:rsid w:val="00374D50"/>
    <w:rsid w:val="00376208"/>
    <w:rsid w:val="003767DE"/>
    <w:rsid w:val="00377947"/>
    <w:rsid w:val="00381D20"/>
    <w:rsid w:val="00384A87"/>
    <w:rsid w:val="00385816"/>
    <w:rsid w:val="0039087F"/>
    <w:rsid w:val="00391A8A"/>
    <w:rsid w:val="003926AE"/>
    <w:rsid w:val="00392D34"/>
    <w:rsid w:val="0039314E"/>
    <w:rsid w:val="00393554"/>
    <w:rsid w:val="00393FFC"/>
    <w:rsid w:val="00397158"/>
    <w:rsid w:val="00397360"/>
    <w:rsid w:val="003A2D25"/>
    <w:rsid w:val="003A453D"/>
    <w:rsid w:val="003A4DF7"/>
    <w:rsid w:val="003A57FD"/>
    <w:rsid w:val="003A5CA4"/>
    <w:rsid w:val="003A66FD"/>
    <w:rsid w:val="003A7614"/>
    <w:rsid w:val="003A7B97"/>
    <w:rsid w:val="003B02EE"/>
    <w:rsid w:val="003B2A80"/>
    <w:rsid w:val="003B38FD"/>
    <w:rsid w:val="003B5C24"/>
    <w:rsid w:val="003B7539"/>
    <w:rsid w:val="003C0C65"/>
    <w:rsid w:val="003C1D03"/>
    <w:rsid w:val="003C7C0C"/>
    <w:rsid w:val="003D5297"/>
    <w:rsid w:val="003E10B1"/>
    <w:rsid w:val="003E3083"/>
    <w:rsid w:val="003E3208"/>
    <w:rsid w:val="003E358C"/>
    <w:rsid w:val="003E3AD0"/>
    <w:rsid w:val="003E7B69"/>
    <w:rsid w:val="003F0CC3"/>
    <w:rsid w:val="003F2182"/>
    <w:rsid w:val="003F3877"/>
    <w:rsid w:val="003F3D99"/>
    <w:rsid w:val="003F537C"/>
    <w:rsid w:val="003F5775"/>
    <w:rsid w:val="003F60AA"/>
    <w:rsid w:val="003F6FB2"/>
    <w:rsid w:val="004007C2"/>
    <w:rsid w:val="00403ACB"/>
    <w:rsid w:val="00404B35"/>
    <w:rsid w:val="004063DB"/>
    <w:rsid w:val="00412357"/>
    <w:rsid w:val="00413BF1"/>
    <w:rsid w:val="004142F3"/>
    <w:rsid w:val="00415B26"/>
    <w:rsid w:val="00416B0F"/>
    <w:rsid w:val="004206BA"/>
    <w:rsid w:val="00420BB4"/>
    <w:rsid w:val="00421BF3"/>
    <w:rsid w:val="004231BE"/>
    <w:rsid w:val="00424C14"/>
    <w:rsid w:val="004255A1"/>
    <w:rsid w:val="00425786"/>
    <w:rsid w:val="00432D1B"/>
    <w:rsid w:val="00433EE2"/>
    <w:rsid w:val="00435EDF"/>
    <w:rsid w:val="0043617F"/>
    <w:rsid w:val="00436235"/>
    <w:rsid w:val="0043675D"/>
    <w:rsid w:val="004368F0"/>
    <w:rsid w:val="00441F42"/>
    <w:rsid w:val="00443154"/>
    <w:rsid w:val="004433E7"/>
    <w:rsid w:val="00445E17"/>
    <w:rsid w:val="00446DA4"/>
    <w:rsid w:val="004503AF"/>
    <w:rsid w:val="00450ED6"/>
    <w:rsid w:val="00452491"/>
    <w:rsid w:val="00452B03"/>
    <w:rsid w:val="0045342F"/>
    <w:rsid w:val="004545B6"/>
    <w:rsid w:val="004547FC"/>
    <w:rsid w:val="004576BB"/>
    <w:rsid w:val="00460930"/>
    <w:rsid w:val="00461248"/>
    <w:rsid w:val="00462E7E"/>
    <w:rsid w:val="00465E4E"/>
    <w:rsid w:val="004663B2"/>
    <w:rsid w:val="00473E7D"/>
    <w:rsid w:val="00485167"/>
    <w:rsid w:val="0048749D"/>
    <w:rsid w:val="00487E46"/>
    <w:rsid w:val="00490498"/>
    <w:rsid w:val="00491CBD"/>
    <w:rsid w:val="00494B94"/>
    <w:rsid w:val="004958A1"/>
    <w:rsid w:val="00496112"/>
    <w:rsid w:val="004973C7"/>
    <w:rsid w:val="004A20D8"/>
    <w:rsid w:val="004B0A78"/>
    <w:rsid w:val="004B42EE"/>
    <w:rsid w:val="004B5C32"/>
    <w:rsid w:val="004B5CE4"/>
    <w:rsid w:val="004C16BB"/>
    <w:rsid w:val="004C214D"/>
    <w:rsid w:val="004C2176"/>
    <w:rsid w:val="004C3576"/>
    <w:rsid w:val="004C5463"/>
    <w:rsid w:val="004C655C"/>
    <w:rsid w:val="004C76AF"/>
    <w:rsid w:val="004D1420"/>
    <w:rsid w:val="004D2E46"/>
    <w:rsid w:val="004D326F"/>
    <w:rsid w:val="004D412B"/>
    <w:rsid w:val="004D5383"/>
    <w:rsid w:val="004E38E6"/>
    <w:rsid w:val="004E61CF"/>
    <w:rsid w:val="004E6F3E"/>
    <w:rsid w:val="004F0C60"/>
    <w:rsid w:val="004F2286"/>
    <w:rsid w:val="00503206"/>
    <w:rsid w:val="00510164"/>
    <w:rsid w:val="00511EE4"/>
    <w:rsid w:val="00516D65"/>
    <w:rsid w:val="0052201E"/>
    <w:rsid w:val="0053115F"/>
    <w:rsid w:val="005334B2"/>
    <w:rsid w:val="005352A6"/>
    <w:rsid w:val="00536795"/>
    <w:rsid w:val="00536CDB"/>
    <w:rsid w:val="00537CE9"/>
    <w:rsid w:val="00540CDA"/>
    <w:rsid w:val="00545C33"/>
    <w:rsid w:val="005479EF"/>
    <w:rsid w:val="00547ACC"/>
    <w:rsid w:val="005553D5"/>
    <w:rsid w:val="00556177"/>
    <w:rsid w:val="0055688A"/>
    <w:rsid w:val="00557310"/>
    <w:rsid w:val="00561D85"/>
    <w:rsid w:val="00563159"/>
    <w:rsid w:val="005647E9"/>
    <w:rsid w:val="00564CE8"/>
    <w:rsid w:val="00566865"/>
    <w:rsid w:val="0057165E"/>
    <w:rsid w:val="005722FB"/>
    <w:rsid w:val="00573A73"/>
    <w:rsid w:val="00574209"/>
    <w:rsid w:val="00574696"/>
    <w:rsid w:val="00580CEC"/>
    <w:rsid w:val="00580DAD"/>
    <w:rsid w:val="00583E39"/>
    <w:rsid w:val="00584289"/>
    <w:rsid w:val="005848C6"/>
    <w:rsid w:val="00587602"/>
    <w:rsid w:val="0058765A"/>
    <w:rsid w:val="00592295"/>
    <w:rsid w:val="00592B33"/>
    <w:rsid w:val="00594E4E"/>
    <w:rsid w:val="00595408"/>
    <w:rsid w:val="005976BB"/>
    <w:rsid w:val="005A2ACA"/>
    <w:rsid w:val="005A403A"/>
    <w:rsid w:val="005A4B7E"/>
    <w:rsid w:val="005A5A85"/>
    <w:rsid w:val="005A616E"/>
    <w:rsid w:val="005A62DF"/>
    <w:rsid w:val="005B1187"/>
    <w:rsid w:val="005B1DDB"/>
    <w:rsid w:val="005B4AB1"/>
    <w:rsid w:val="005B5E3A"/>
    <w:rsid w:val="005C24E2"/>
    <w:rsid w:val="005C43B1"/>
    <w:rsid w:val="005C49EA"/>
    <w:rsid w:val="005C6648"/>
    <w:rsid w:val="005C7EA5"/>
    <w:rsid w:val="005D1FAF"/>
    <w:rsid w:val="005D2E42"/>
    <w:rsid w:val="005D2F91"/>
    <w:rsid w:val="005D6E65"/>
    <w:rsid w:val="005E3506"/>
    <w:rsid w:val="005E7C5C"/>
    <w:rsid w:val="005E7EB2"/>
    <w:rsid w:val="005F0B39"/>
    <w:rsid w:val="005F1E51"/>
    <w:rsid w:val="005F524C"/>
    <w:rsid w:val="005F65D1"/>
    <w:rsid w:val="006007A8"/>
    <w:rsid w:val="00600F3F"/>
    <w:rsid w:val="00602378"/>
    <w:rsid w:val="00605DEB"/>
    <w:rsid w:val="006061C8"/>
    <w:rsid w:val="00613429"/>
    <w:rsid w:val="00613D41"/>
    <w:rsid w:val="00614DF2"/>
    <w:rsid w:val="0061564E"/>
    <w:rsid w:val="00615AC0"/>
    <w:rsid w:val="00616293"/>
    <w:rsid w:val="0062357D"/>
    <w:rsid w:val="00624245"/>
    <w:rsid w:val="00624BA8"/>
    <w:rsid w:val="00630813"/>
    <w:rsid w:val="00634C1D"/>
    <w:rsid w:val="00635291"/>
    <w:rsid w:val="00635A43"/>
    <w:rsid w:val="00635F17"/>
    <w:rsid w:val="00640FB8"/>
    <w:rsid w:val="0064182E"/>
    <w:rsid w:val="00642481"/>
    <w:rsid w:val="00644328"/>
    <w:rsid w:val="00652F4B"/>
    <w:rsid w:val="00655FFE"/>
    <w:rsid w:val="006569DE"/>
    <w:rsid w:val="00665F6E"/>
    <w:rsid w:val="00670462"/>
    <w:rsid w:val="0067061D"/>
    <w:rsid w:val="00670A7F"/>
    <w:rsid w:val="00670C9C"/>
    <w:rsid w:val="00674A72"/>
    <w:rsid w:val="00675057"/>
    <w:rsid w:val="00675CC0"/>
    <w:rsid w:val="006763C2"/>
    <w:rsid w:val="00683123"/>
    <w:rsid w:val="0068437B"/>
    <w:rsid w:val="0068637D"/>
    <w:rsid w:val="006906EB"/>
    <w:rsid w:val="006916CF"/>
    <w:rsid w:val="00691C62"/>
    <w:rsid w:val="00691E89"/>
    <w:rsid w:val="00691F68"/>
    <w:rsid w:val="00692276"/>
    <w:rsid w:val="006A060C"/>
    <w:rsid w:val="006A5A3A"/>
    <w:rsid w:val="006A7033"/>
    <w:rsid w:val="006A7738"/>
    <w:rsid w:val="006B1C9B"/>
    <w:rsid w:val="006B238F"/>
    <w:rsid w:val="006B350C"/>
    <w:rsid w:val="006B4F71"/>
    <w:rsid w:val="006B63A7"/>
    <w:rsid w:val="006B794A"/>
    <w:rsid w:val="006C2B78"/>
    <w:rsid w:val="006C635B"/>
    <w:rsid w:val="006C6FF8"/>
    <w:rsid w:val="006C7A71"/>
    <w:rsid w:val="006D0501"/>
    <w:rsid w:val="006D3C5D"/>
    <w:rsid w:val="006D4018"/>
    <w:rsid w:val="006E1662"/>
    <w:rsid w:val="006E4FD4"/>
    <w:rsid w:val="006E5221"/>
    <w:rsid w:val="006E675C"/>
    <w:rsid w:val="006F5049"/>
    <w:rsid w:val="00700327"/>
    <w:rsid w:val="00700E47"/>
    <w:rsid w:val="00700FE8"/>
    <w:rsid w:val="00701DBF"/>
    <w:rsid w:val="00703309"/>
    <w:rsid w:val="007041B5"/>
    <w:rsid w:val="0071055F"/>
    <w:rsid w:val="007125C4"/>
    <w:rsid w:val="00716413"/>
    <w:rsid w:val="00720E80"/>
    <w:rsid w:val="00721587"/>
    <w:rsid w:val="007231BC"/>
    <w:rsid w:val="00723CCA"/>
    <w:rsid w:val="00724EF4"/>
    <w:rsid w:val="007317A0"/>
    <w:rsid w:val="00733CBF"/>
    <w:rsid w:val="00735188"/>
    <w:rsid w:val="00741EDC"/>
    <w:rsid w:val="00746396"/>
    <w:rsid w:val="00750C3E"/>
    <w:rsid w:val="007517A1"/>
    <w:rsid w:val="00751DF6"/>
    <w:rsid w:val="00752440"/>
    <w:rsid w:val="00756017"/>
    <w:rsid w:val="007575C1"/>
    <w:rsid w:val="00760E7F"/>
    <w:rsid w:val="00763BA1"/>
    <w:rsid w:val="00764AC5"/>
    <w:rsid w:val="00765034"/>
    <w:rsid w:val="00775435"/>
    <w:rsid w:val="00775D69"/>
    <w:rsid w:val="00777F15"/>
    <w:rsid w:val="00781F2C"/>
    <w:rsid w:val="00787779"/>
    <w:rsid w:val="00791AB6"/>
    <w:rsid w:val="00791EB9"/>
    <w:rsid w:val="00793F35"/>
    <w:rsid w:val="007959E8"/>
    <w:rsid w:val="0079617B"/>
    <w:rsid w:val="007A0CE4"/>
    <w:rsid w:val="007A7CD6"/>
    <w:rsid w:val="007B01DB"/>
    <w:rsid w:val="007B0B37"/>
    <w:rsid w:val="007B23B8"/>
    <w:rsid w:val="007B53E5"/>
    <w:rsid w:val="007B6C04"/>
    <w:rsid w:val="007C0031"/>
    <w:rsid w:val="007C2AC8"/>
    <w:rsid w:val="007C5B4C"/>
    <w:rsid w:val="007C5E07"/>
    <w:rsid w:val="007C5F3E"/>
    <w:rsid w:val="007D3408"/>
    <w:rsid w:val="007D5A8C"/>
    <w:rsid w:val="007D690D"/>
    <w:rsid w:val="007D696D"/>
    <w:rsid w:val="007E42D2"/>
    <w:rsid w:val="007E676B"/>
    <w:rsid w:val="007F01BA"/>
    <w:rsid w:val="007F0602"/>
    <w:rsid w:val="007F1CF2"/>
    <w:rsid w:val="007F3E98"/>
    <w:rsid w:val="007F6FAC"/>
    <w:rsid w:val="008045D3"/>
    <w:rsid w:val="0081046D"/>
    <w:rsid w:val="00815A01"/>
    <w:rsid w:val="00816EE7"/>
    <w:rsid w:val="0081775B"/>
    <w:rsid w:val="00820D36"/>
    <w:rsid w:val="008218E4"/>
    <w:rsid w:val="00821D38"/>
    <w:rsid w:val="0083050D"/>
    <w:rsid w:val="00834099"/>
    <w:rsid w:val="0083631D"/>
    <w:rsid w:val="00840843"/>
    <w:rsid w:val="00850EA4"/>
    <w:rsid w:val="0085304B"/>
    <w:rsid w:val="008538E8"/>
    <w:rsid w:val="008568C2"/>
    <w:rsid w:val="008619D8"/>
    <w:rsid w:val="008659F5"/>
    <w:rsid w:val="00866035"/>
    <w:rsid w:val="00870302"/>
    <w:rsid w:val="0087044E"/>
    <w:rsid w:val="00870C11"/>
    <w:rsid w:val="0087354E"/>
    <w:rsid w:val="00880AB1"/>
    <w:rsid w:val="008820EE"/>
    <w:rsid w:val="0088603E"/>
    <w:rsid w:val="008877CE"/>
    <w:rsid w:val="00887A24"/>
    <w:rsid w:val="00887D47"/>
    <w:rsid w:val="00891CDD"/>
    <w:rsid w:val="00891E59"/>
    <w:rsid w:val="00894195"/>
    <w:rsid w:val="00894C91"/>
    <w:rsid w:val="00896117"/>
    <w:rsid w:val="00897BC2"/>
    <w:rsid w:val="008A34CF"/>
    <w:rsid w:val="008A6C9F"/>
    <w:rsid w:val="008A6EAE"/>
    <w:rsid w:val="008A7FBE"/>
    <w:rsid w:val="008B1220"/>
    <w:rsid w:val="008B567D"/>
    <w:rsid w:val="008B74B2"/>
    <w:rsid w:val="008C543E"/>
    <w:rsid w:val="008C6CD4"/>
    <w:rsid w:val="008D23B0"/>
    <w:rsid w:val="008D5500"/>
    <w:rsid w:val="008D66C0"/>
    <w:rsid w:val="008D7B54"/>
    <w:rsid w:val="008E110B"/>
    <w:rsid w:val="008E2B92"/>
    <w:rsid w:val="008E5DE8"/>
    <w:rsid w:val="008F0524"/>
    <w:rsid w:val="008F08FE"/>
    <w:rsid w:val="008F19C1"/>
    <w:rsid w:val="008F1B34"/>
    <w:rsid w:val="00900C6D"/>
    <w:rsid w:val="00902B5D"/>
    <w:rsid w:val="00903526"/>
    <w:rsid w:val="00904233"/>
    <w:rsid w:val="009051B9"/>
    <w:rsid w:val="00914F20"/>
    <w:rsid w:val="00915DDA"/>
    <w:rsid w:val="009167E8"/>
    <w:rsid w:val="009171F1"/>
    <w:rsid w:val="00917372"/>
    <w:rsid w:val="0092044A"/>
    <w:rsid w:val="00920DC1"/>
    <w:rsid w:val="00921361"/>
    <w:rsid w:val="00922511"/>
    <w:rsid w:val="00922970"/>
    <w:rsid w:val="0092332C"/>
    <w:rsid w:val="00923BF5"/>
    <w:rsid w:val="00924543"/>
    <w:rsid w:val="009262E2"/>
    <w:rsid w:val="00930C89"/>
    <w:rsid w:val="00932F4D"/>
    <w:rsid w:val="0093397E"/>
    <w:rsid w:val="00935075"/>
    <w:rsid w:val="0093552F"/>
    <w:rsid w:val="009369D7"/>
    <w:rsid w:val="00937E74"/>
    <w:rsid w:val="009407E1"/>
    <w:rsid w:val="009407E3"/>
    <w:rsid w:val="00940A5D"/>
    <w:rsid w:val="00940E1F"/>
    <w:rsid w:val="00942C5C"/>
    <w:rsid w:val="00945EA0"/>
    <w:rsid w:val="0095001E"/>
    <w:rsid w:val="00950417"/>
    <w:rsid w:val="0095091B"/>
    <w:rsid w:val="00950937"/>
    <w:rsid w:val="00953B07"/>
    <w:rsid w:val="009561A0"/>
    <w:rsid w:val="00957C3C"/>
    <w:rsid w:val="0096129C"/>
    <w:rsid w:val="00961D33"/>
    <w:rsid w:val="009669FD"/>
    <w:rsid w:val="00970B19"/>
    <w:rsid w:val="00971884"/>
    <w:rsid w:val="00972A65"/>
    <w:rsid w:val="009748E2"/>
    <w:rsid w:val="00980A7A"/>
    <w:rsid w:val="00982B91"/>
    <w:rsid w:val="00983820"/>
    <w:rsid w:val="009845D1"/>
    <w:rsid w:val="00984FA4"/>
    <w:rsid w:val="00985F17"/>
    <w:rsid w:val="009910F2"/>
    <w:rsid w:val="00993D82"/>
    <w:rsid w:val="009945C3"/>
    <w:rsid w:val="00996E8B"/>
    <w:rsid w:val="009A31AA"/>
    <w:rsid w:val="009A4562"/>
    <w:rsid w:val="009A4D45"/>
    <w:rsid w:val="009A71AC"/>
    <w:rsid w:val="009A7FEB"/>
    <w:rsid w:val="009B016D"/>
    <w:rsid w:val="009B0A4E"/>
    <w:rsid w:val="009B22A5"/>
    <w:rsid w:val="009B2F60"/>
    <w:rsid w:val="009B52D9"/>
    <w:rsid w:val="009C008E"/>
    <w:rsid w:val="009C27F4"/>
    <w:rsid w:val="009C6BE5"/>
    <w:rsid w:val="009C7FBE"/>
    <w:rsid w:val="009D05A0"/>
    <w:rsid w:val="009D1487"/>
    <w:rsid w:val="009D2416"/>
    <w:rsid w:val="009D41C3"/>
    <w:rsid w:val="009E0DC1"/>
    <w:rsid w:val="009E4FA6"/>
    <w:rsid w:val="009E644E"/>
    <w:rsid w:val="009F030A"/>
    <w:rsid w:val="009F0563"/>
    <w:rsid w:val="009F310A"/>
    <w:rsid w:val="009F393E"/>
    <w:rsid w:val="009F3E0D"/>
    <w:rsid w:val="009F5287"/>
    <w:rsid w:val="00A01E30"/>
    <w:rsid w:val="00A06DED"/>
    <w:rsid w:val="00A07A6E"/>
    <w:rsid w:val="00A119F2"/>
    <w:rsid w:val="00A1255F"/>
    <w:rsid w:val="00A15738"/>
    <w:rsid w:val="00A16804"/>
    <w:rsid w:val="00A171F0"/>
    <w:rsid w:val="00A172F6"/>
    <w:rsid w:val="00A17575"/>
    <w:rsid w:val="00A17B9D"/>
    <w:rsid w:val="00A208B6"/>
    <w:rsid w:val="00A30D37"/>
    <w:rsid w:val="00A3341F"/>
    <w:rsid w:val="00A335A7"/>
    <w:rsid w:val="00A35228"/>
    <w:rsid w:val="00A376BD"/>
    <w:rsid w:val="00A379BB"/>
    <w:rsid w:val="00A405DD"/>
    <w:rsid w:val="00A43071"/>
    <w:rsid w:val="00A44400"/>
    <w:rsid w:val="00A46CD4"/>
    <w:rsid w:val="00A47081"/>
    <w:rsid w:val="00A53FAB"/>
    <w:rsid w:val="00A56B0D"/>
    <w:rsid w:val="00A56F48"/>
    <w:rsid w:val="00A573E9"/>
    <w:rsid w:val="00A57BCD"/>
    <w:rsid w:val="00A57CE6"/>
    <w:rsid w:val="00A6086E"/>
    <w:rsid w:val="00A647A9"/>
    <w:rsid w:val="00A65061"/>
    <w:rsid w:val="00A652D0"/>
    <w:rsid w:val="00A675B9"/>
    <w:rsid w:val="00A70043"/>
    <w:rsid w:val="00A71E6D"/>
    <w:rsid w:val="00A74CF5"/>
    <w:rsid w:val="00A753D3"/>
    <w:rsid w:val="00A76424"/>
    <w:rsid w:val="00A7679D"/>
    <w:rsid w:val="00A767B6"/>
    <w:rsid w:val="00A76EDD"/>
    <w:rsid w:val="00A77EF6"/>
    <w:rsid w:val="00A8143C"/>
    <w:rsid w:val="00A84ECE"/>
    <w:rsid w:val="00A871EA"/>
    <w:rsid w:val="00A8759C"/>
    <w:rsid w:val="00A90881"/>
    <w:rsid w:val="00A916E2"/>
    <w:rsid w:val="00A919F0"/>
    <w:rsid w:val="00A922A3"/>
    <w:rsid w:val="00A96E37"/>
    <w:rsid w:val="00A97B90"/>
    <w:rsid w:val="00AA2735"/>
    <w:rsid w:val="00AA2F82"/>
    <w:rsid w:val="00AA3ACC"/>
    <w:rsid w:val="00AA716D"/>
    <w:rsid w:val="00AB1743"/>
    <w:rsid w:val="00AB4CE8"/>
    <w:rsid w:val="00AC07F4"/>
    <w:rsid w:val="00AC2499"/>
    <w:rsid w:val="00AC5AAF"/>
    <w:rsid w:val="00AD1994"/>
    <w:rsid w:val="00AD774E"/>
    <w:rsid w:val="00AE2C94"/>
    <w:rsid w:val="00AE39C1"/>
    <w:rsid w:val="00AE4566"/>
    <w:rsid w:val="00AE4CF3"/>
    <w:rsid w:val="00AE559D"/>
    <w:rsid w:val="00AE55A6"/>
    <w:rsid w:val="00AF35D6"/>
    <w:rsid w:val="00AF62B9"/>
    <w:rsid w:val="00AF6B2D"/>
    <w:rsid w:val="00B02C35"/>
    <w:rsid w:val="00B03B87"/>
    <w:rsid w:val="00B056D9"/>
    <w:rsid w:val="00B057AC"/>
    <w:rsid w:val="00B0714E"/>
    <w:rsid w:val="00B10BCB"/>
    <w:rsid w:val="00B13583"/>
    <w:rsid w:val="00B13CF9"/>
    <w:rsid w:val="00B2107E"/>
    <w:rsid w:val="00B2168D"/>
    <w:rsid w:val="00B21EF5"/>
    <w:rsid w:val="00B255DD"/>
    <w:rsid w:val="00B27C3E"/>
    <w:rsid w:val="00B30270"/>
    <w:rsid w:val="00B31CCE"/>
    <w:rsid w:val="00B326E3"/>
    <w:rsid w:val="00B33538"/>
    <w:rsid w:val="00B33C20"/>
    <w:rsid w:val="00B3746C"/>
    <w:rsid w:val="00B37D3A"/>
    <w:rsid w:val="00B41327"/>
    <w:rsid w:val="00B4169B"/>
    <w:rsid w:val="00B42153"/>
    <w:rsid w:val="00B42DF9"/>
    <w:rsid w:val="00B46A09"/>
    <w:rsid w:val="00B55E47"/>
    <w:rsid w:val="00B56037"/>
    <w:rsid w:val="00B562F0"/>
    <w:rsid w:val="00B6043D"/>
    <w:rsid w:val="00B60D88"/>
    <w:rsid w:val="00B61B55"/>
    <w:rsid w:val="00B622BE"/>
    <w:rsid w:val="00B6596D"/>
    <w:rsid w:val="00B728F1"/>
    <w:rsid w:val="00B73473"/>
    <w:rsid w:val="00B738D5"/>
    <w:rsid w:val="00B74D75"/>
    <w:rsid w:val="00B750A9"/>
    <w:rsid w:val="00B76104"/>
    <w:rsid w:val="00B80EF1"/>
    <w:rsid w:val="00B80EFF"/>
    <w:rsid w:val="00B844E6"/>
    <w:rsid w:val="00B85AF5"/>
    <w:rsid w:val="00B85EF0"/>
    <w:rsid w:val="00B90035"/>
    <w:rsid w:val="00B91E3F"/>
    <w:rsid w:val="00B91FC3"/>
    <w:rsid w:val="00BA3DF8"/>
    <w:rsid w:val="00BA4BD6"/>
    <w:rsid w:val="00BA6B6C"/>
    <w:rsid w:val="00BB0B16"/>
    <w:rsid w:val="00BB43CA"/>
    <w:rsid w:val="00BC1570"/>
    <w:rsid w:val="00BC4916"/>
    <w:rsid w:val="00BC52C5"/>
    <w:rsid w:val="00BC5BED"/>
    <w:rsid w:val="00BD1900"/>
    <w:rsid w:val="00BD1FAD"/>
    <w:rsid w:val="00BD3FDB"/>
    <w:rsid w:val="00BD427A"/>
    <w:rsid w:val="00BE0A19"/>
    <w:rsid w:val="00BE0DA3"/>
    <w:rsid w:val="00BE2263"/>
    <w:rsid w:val="00BE3139"/>
    <w:rsid w:val="00BE3E8D"/>
    <w:rsid w:val="00BE6B4C"/>
    <w:rsid w:val="00BE747D"/>
    <w:rsid w:val="00BE782D"/>
    <w:rsid w:val="00BE7C41"/>
    <w:rsid w:val="00BF0992"/>
    <w:rsid w:val="00BF359A"/>
    <w:rsid w:val="00BF46C3"/>
    <w:rsid w:val="00C03EA4"/>
    <w:rsid w:val="00C05D97"/>
    <w:rsid w:val="00C060A8"/>
    <w:rsid w:val="00C10903"/>
    <w:rsid w:val="00C11A6E"/>
    <w:rsid w:val="00C12D1A"/>
    <w:rsid w:val="00C136AE"/>
    <w:rsid w:val="00C17544"/>
    <w:rsid w:val="00C21345"/>
    <w:rsid w:val="00C21BD8"/>
    <w:rsid w:val="00C21DB2"/>
    <w:rsid w:val="00C2733C"/>
    <w:rsid w:val="00C30E57"/>
    <w:rsid w:val="00C3244E"/>
    <w:rsid w:val="00C355F5"/>
    <w:rsid w:val="00C35BD1"/>
    <w:rsid w:val="00C35E4D"/>
    <w:rsid w:val="00C3605F"/>
    <w:rsid w:val="00C4046B"/>
    <w:rsid w:val="00C415FB"/>
    <w:rsid w:val="00C4492B"/>
    <w:rsid w:val="00C44DEE"/>
    <w:rsid w:val="00C45E79"/>
    <w:rsid w:val="00C46241"/>
    <w:rsid w:val="00C475BF"/>
    <w:rsid w:val="00C528D1"/>
    <w:rsid w:val="00C528D4"/>
    <w:rsid w:val="00C52F53"/>
    <w:rsid w:val="00C56087"/>
    <w:rsid w:val="00C568C5"/>
    <w:rsid w:val="00C57E52"/>
    <w:rsid w:val="00C60162"/>
    <w:rsid w:val="00C73177"/>
    <w:rsid w:val="00C740BC"/>
    <w:rsid w:val="00C74502"/>
    <w:rsid w:val="00C745EE"/>
    <w:rsid w:val="00C75ECA"/>
    <w:rsid w:val="00C82089"/>
    <w:rsid w:val="00C8674D"/>
    <w:rsid w:val="00C8729F"/>
    <w:rsid w:val="00C90AA1"/>
    <w:rsid w:val="00C91244"/>
    <w:rsid w:val="00C913A9"/>
    <w:rsid w:val="00C92E47"/>
    <w:rsid w:val="00C96124"/>
    <w:rsid w:val="00C96CB3"/>
    <w:rsid w:val="00C96DB7"/>
    <w:rsid w:val="00C9714A"/>
    <w:rsid w:val="00C974C6"/>
    <w:rsid w:val="00CA0979"/>
    <w:rsid w:val="00CA3FF1"/>
    <w:rsid w:val="00CA502C"/>
    <w:rsid w:val="00CA5C50"/>
    <w:rsid w:val="00CA7400"/>
    <w:rsid w:val="00CB0328"/>
    <w:rsid w:val="00CB7F26"/>
    <w:rsid w:val="00CC03F2"/>
    <w:rsid w:val="00CC2ED1"/>
    <w:rsid w:val="00CC318E"/>
    <w:rsid w:val="00CC39DF"/>
    <w:rsid w:val="00CC3B7D"/>
    <w:rsid w:val="00CC4D58"/>
    <w:rsid w:val="00CC637D"/>
    <w:rsid w:val="00CD2692"/>
    <w:rsid w:val="00CD38BE"/>
    <w:rsid w:val="00CD3B78"/>
    <w:rsid w:val="00CD3ED0"/>
    <w:rsid w:val="00CD65AD"/>
    <w:rsid w:val="00CD75C2"/>
    <w:rsid w:val="00CE3180"/>
    <w:rsid w:val="00CE3A48"/>
    <w:rsid w:val="00CE3A6F"/>
    <w:rsid w:val="00CE5182"/>
    <w:rsid w:val="00CE7B40"/>
    <w:rsid w:val="00CF06F8"/>
    <w:rsid w:val="00CF11D1"/>
    <w:rsid w:val="00CF2583"/>
    <w:rsid w:val="00CF421C"/>
    <w:rsid w:val="00CF6DB0"/>
    <w:rsid w:val="00D051CC"/>
    <w:rsid w:val="00D0669C"/>
    <w:rsid w:val="00D07B02"/>
    <w:rsid w:val="00D07D28"/>
    <w:rsid w:val="00D07F66"/>
    <w:rsid w:val="00D1043A"/>
    <w:rsid w:val="00D21DE5"/>
    <w:rsid w:val="00D23CE6"/>
    <w:rsid w:val="00D3019A"/>
    <w:rsid w:val="00D30D8A"/>
    <w:rsid w:val="00D30EE2"/>
    <w:rsid w:val="00D32F72"/>
    <w:rsid w:val="00D33663"/>
    <w:rsid w:val="00D34606"/>
    <w:rsid w:val="00D37EE1"/>
    <w:rsid w:val="00D40446"/>
    <w:rsid w:val="00D43B93"/>
    <w:rsid w:val="00D45F42"/>
    <w:rsid w:val="00D50CC9"/>
    <w:rsid w:val="00D51F9E"/>
    <w:rsid w:val="00D534A3"/>
    <w:rsid w:val="00D54920"/>
    <w:rsid w:val="00D56E24"/>
    <w:rsid w:val="00D60ACE"/>
    <w:rsid w:val="00D652AF"/>
    <w:rsid w:val="00D65D9F"/>
    <w:rsid w:val="00D7013A"/>
    <w:rsid w:val="00D72684"/>
    <w:rsid w:val="00D72A23"/>
    <w:rsid w:val="00D73045"/>
    <w:rsid w:val="00D74385"/>
    <w:rsid w:val="00D7633F"/>
    <w:rsid w:val="00D804D4"/>
    <w:rsid w:val="00D80926"/>
    <w:rsid w:val="00D815FF"/>
    <w:rsid w:val="00D84225"/>
    <w:rsid w:val="00D940E9"/>
    <w:rsid w:val="00DA1041"/>
    <w:rsid w:val="00DA28B1"/>
    <w:rsid w:val="00DA6C19"/>
    <w:rsid w:val="00DA6F28"/>
    <w:rsid w:val="00DA78FA"/>
    <w:rsid w:val="00DB32D4"/>
    <w:rsid w:val="00DB3E1E"/>
    <w:rsid w:val="00DB5015"/>
    <w:rsid w:val="00DB5D6F"/>
    <w:rsid w:val="00DC06ED"/>
    <w:rsid w:val="00DC2A88"/>
    <w:rsid w:val="00DC5B5B"/>
    <w:rsid w:val="00DC6AC3"/>
    <w:rsid w:val="00DC7B2E"/>
    <w:rsid w:val="00DC7E78"/>
    <w:rsid w:val="00DD0A7A"/>
    <w:rsid w:val="00DD1BAC"/>
    <w:rsid w:val="00DD2722"/>
    <w:rsid w:val="00DD51FA"/>
    <w:rsid w:val="00DD7452"/>
    <w:rsid w:val="00DE01D2"/>
    <w:rsid w:val="00DE1CFE"/>
    <w:rsid w:val="00DE3011"/>
    <w:rsid w:val="00DE3841"/>
    <w:rsid w:val="00DE3A79"/>
    <w:rsid w:val="00DF1C74"/>
    <w:rsid w:val="00DF34CA"/>
    <w:rsid w:val="00DF3F6A"/>
    <w:rsid w:val="00DF6E3C"/>
    <w:rsid w:val="00DF704C"/>
    <w:rsid w:val="00E007CB"/>
    <w:rsid w:val="00E0113C"/>
    <w:rsid w:val="00E02BB1"/>
    <w:rsid w:val="00E053D0"/>
    <w:rsid w:val="00E05960"/>
    <w:rsid w:val="00E05CBB"/>
    <w:rsid w:val="00E103D7"/>
    <w:rsid w:val="00E10A5C"/>
    <w:rsid w:val="00E13570"/>
    <w:rsid w:val="00E13C58"/>
    <w:rsid w:val="00E1459D"/>
    <w:rsid w:val="00E14B7A"/>
    <w:rsid w:val="00E1532B"/>
    <w:rsid w:val="00E154FF"/>
    <w:rsid w:val="00E20CEB"/>
    <w:rsid w:val="00E21647"/>
    <w:rsid w:val="00E2242F"/>
    <w:rsid w:val="00E3275D"/>
    <w:rsid w:val="00E367DB"/>
    <w:rsid w:val="00E37C61"/>
    <w:rsid w:val="00E425A4"/>
    <w:rsid w:val="00E43CB6"/>
    <w:rsid w:val="00E44B0D"/>
    <w:rsid w:val="00E576DB"/>
    <w:rsid w:val="00E61291"/>
    <w:rsid w:val="00E62D08"/>
    <w:rsid w:val="00E6512A"/>
    <w:rsid w:val="00E73082"/>
    <w:rsid w:val="00E731EE"/>
    <w:rsid w:val="00E74089"/>
    <w:rsid w:val="00E742A0"/>
    <w:rsid w:val="00E76848"/>
    <w:rsid w:val="00E77840"/>
    <w:rsid w:val="00E8188B"/>
    <w:rsid w:val="00E8342D"/>
    <w:rsid w:val="00E850A7"/>
    <w:rsid w:val="00E8755E"/>
    <w:rsid w:val="00E918F0"/>
    <w:rsid w:val="00E946F1"/>
    <w:rsid w:val="00E97230"/>
    <w:rsid w:val="00E97EB9"/>
    <w:rsid w:val="00EA03A8"/>
    <w:rsid w:val="00EA2BAC"/>
    <w:rsid w:val="00EA3434"/>
    <w:rsid w:val="00EA4590"/>
    <w:rsid w:val="00EA7002"/>
    <w:rsid w:val="00EA7722"/>
    <w:rsid w:val="00EB074F"/>
    <w:rsid w:val="00EB1553"/>
    <w:rsid w:val="00EB4870"/>
    <w:rsid w:val="00EB6C8A"/>
    <w:rsid w:val="00EB7190"/>
    <w:rsid w:val="00EC05DC"/>
    <w:rsid w:val="00EC1044"/>
    <w:rsid w:val="00EC34A9"/>
    <w:rsid w:val="00EC5162"/>
    <w:rsid w:val="00EC7D02"/>
    <w:rsid w:val="00ED40FF"/>
    <w:rsid w:val="00ED6381"/>
    <w:rsid w:val="00ED6AAC"/>
    <w:rsid w:val="00ED7F15"/>
    <w:rsid w:val="00EE12BB"/>
    <w:rsid w:val="00EE346C"/>
    <w:rsid w:val="00EE756F"/>
    <w:rsid w:val="00EF186F"/>
    <w:rsid w:val="00EF3A61"/>
    <w:rsid w:val="00EF3A70"/>
    <w:rsid w:val="00EF52F1"/>
    <w:rsid w:val="00F005AC"/>
    <w:rsid w:val="00F01CB3"/>
    <w:rsid w:val="00F033EC"/>
    <w:rsid w:val="00F03BB8"/>
    <w:rsid w:val="00F05ACA"/>
    <w:rsid w:val="00F105B2"/>
    <w:rsid w:val="00F10B78"/>
    <w:rsid w:val="00F117B3"/>
    <w:rsid w:val="00F11E32"/>
    <w:rsid w:val="00F12E19"/>
    <w:rsid w:val="00F20796"/>
    <w:rsid w:val="00F21376"/>
    <w:rsid w:val="00F23A55"/>
    <w:rsid w:val="00F25E0C"/>
    <w:rsid w:val="00F3029B"/>
    <w:rsid w:val="00F331ED"/>
    <w:rsid w:val="00F33F00"/>
    <w:rsid w:val="00F348B0"/>
    <w:rsid w:val="00F34EA3"/>
    <w:rsid w:val="00F3567F"/>
    <w:rsid w:val="00F35E02"/>
    <w:rsid w:val="00F36881"/>
    <w:rsid w:val="00F40C93"/>
    <w:rsid w:val="00F467D0"/>
    <w:rsid w:val="00F5043A"/>
    <w:rsid w:val="00F50CDF"/>
    <w:rsid w:val="00F517E7"/>
    <w:rsid w:val="00F53C43"/>
    <w:rsid w:val="00F57B45"/>
    <w:rsid w:val="00F67180"/>
    <w:rsid w:val="00F679A3"/>
    <w:rsid w:val="00F73F2B"/>
    <w:rsid w:val="00F75ED3"/>
    <w:rsid w:val="00F80747"/>
    <w:rsid w:val="00F81620"/>
    <w:rsid w:val="00F869BD"/>
    <w:rsid w:val="00F90614"/>
    <w:rsid w:val="00F93A3F"/>
    <w:rsid w:val="00F93BA6"/>
    <w:rsid w:val="00F96497"/>
    <w:rsid w:val="00FA044B"/>
    <w:rsid w:val="00FA37D9"/>
    <w:rsid w:val="00FA3843"/>
    <w:rsid w:val="00FA5B2D"/>
    <w:rsid w:val="00FB0EF5"/>
    <w:rsid w:val="00FB1D84"/>
    <w:rsid w:val="00FB21FD"/>
    <w:rsid w:val="00FB4589"/>
    <w:rsid w:val="00FB6A89"/>
    <w:rsid w:val="00FC025D"/>
    <w:rsid w:val="00FC0905"/>
    <w:rsid w:val="00FC2455"/>
    <w:rsid w:val="00FC4FB4"/>
    <w:rsid w:val="00FC5152"/>
    <w:rsid w:val="00FD5ADD"/>
    <w:rsid w:val="00FD7E69"/>
    <w:rsid w:val="00FE1466"/>
    <w:rsid w:val="00FE19E5"/>
    <w:rsid w:val="00FE2181"/>
    <w:rsid w:val="00FE2F65"/>
    <w:rsid w:val="00FE56F3"/>
    <w:rsid w:val="00FE5D1D"/>
    <w:rsid w:val="00FE6B9F"/>
    <w:rsid w:val="00FF5456"/>
    <w:rsid w:val="00FF7472"/>
    <w:rsid w:val="01220CF5"/>
    <w:rsid w:val="012D2EC5"/>
    <w:rsid w:val="013B2F23"/>
    <w:rsid w:val="01710F01"/>
    <w:rsid w:val="01866661"/>
    <w:rsid w:val="018F6336"/>
    <w:rsid w:val="01A8004E"/>
    <w:rsid w:val="01C11008"/>
    <w:rsid w:val="02281ACB"/>
    <w:rsid w:val="023E5953"/>
    <w:rsid w:val="023F2E8C"/>
    <w:rsid w:val="024A028C"/>
    <w:rsid w:val="02A35ADD"/>
    <w:rsid w:val="02CA601E"/>
    <w:rsid w:val="02D84A36"/>
    <w:rsid w:val="02F93F6A"/>
    <w:rsid w:val="03000716"/>
    <w:rsid w:val="03013312"/>
    <w:rsid w:val="03173BD2"/>
    <w:rsid w:val="037F54DC"/>
    <w:rsid w:val="03A33348"/>
    <w:rsid w:val="03BD27FE"/>
    <w:rsid w:val="03C53A79"/>
    <w:rsid w:val="03E033DF"/>
    <w:rsid w:val="040746DF"/>
    <w:rsid w:val="042934D9"/>
    <w:rsid w:val="042D4A23"/>
    <w:rsid w:val="044A60FF"/>
    <w:rsid w:val="04713603"/>
    <w:rsid w:val="049931E9"/>
    <w:rsid w:val="04AD01DD"/>
    <w:rsid w:val="04DF6E7A"/>
    <w:rsid w:val="04E92BD4"/>
    <w:rsid w:val="052D2E37"/>
    <w:rsid w:val="05357951"/>
    <w:rsid w:val="05EE2D3C"/>
    <w:rsid w:val="06043DDA"/>
    <w:rsid w:val="06051ED1"/>
    <w:rsid w:val="061D3517"/>
    <w:rsid w:val="064908D3"/>
    <w:rsid w:val="06C113BF"/>
    <w:rsid w:val="06D5473A"/>
    <w:rsid w:val="06D61345"/>
    <w:rsid w:val="070B6B66"/>
    <w:rsid w:val="071D4AEC"/>
    <w:rsid w:val="07614313"/>
    <w:rsid w:val="0763320F"/>
    <w:rsid w:val="07701841"/>
    <w:rsid w:val="07E415FD"/>
    <w:rsid w:val="07F868FE"/>
    <w:rsid w:val="081B70E2"/>
    <w:rsid w:val="081D144E"/>
    <w:rsid w:val="08324EFA"/>
    <w:rsid w:val="08664722"/>
    <w:rsid w:val="087210F5"/>
    <w:rsid w:val="08892065"/>
    <w:rsid w:val="088B26A9"/>
    <w:rsid w:val="08C30259"/>
    <w:rsid w:val="095443A2"/>
    <w:rsid w:val="0958411A"/>
    <w:rsid w:val="09B64B81"/>
    <w:rsid w:val="09D770A2"/>
    <w:rsid w:val="0A5646FF"/>
    <w:rsid w:val="0A613935"/>
    <w:rsid w:val="0A7B1588"/>
    <w:rsid w:val="0A8248C7"/>
    <w:rsid w:val="0AD25578"/>
    <w:rsid w:val="0AE6579C"/>
    <w:rsid w:val="0B37192D"/>
    <w:rsid w:val="0B3C3E6E"/>
    <w:rsid w:val="0B5E54D2"/>
    <w:rsid w:val="0B9233BA"/>
    <w:rsid w:val="0B953549"/>
    <w:rsid w:val="0B9C4D21"/>
    <w:rsid w:val="0C291372"/>
    <w:rsid w:val="0C5E57F4"/>
    <w:rsid w:val="0C6C13F0"/>
    <w:rsid w:val="0CB1145B"/>
    <w:rsid w:val="0CB82A8F"/>
    <w:rsid w:val="0CCA51A5"/>
    <w:rsid w:val="0CE80310"/>
    <w:rsid w:val="0D2F2A34"/>
    <w:rsid w:val="0D813AA8"/>
    <w:rsid w:val="0DCE517E"/>
    <w:rsid w:val="0DCF202E"/>
    <w:rsid w:val="0E43752E"/>
    <w:rsid w:val="0E6D7980"/>
    <w:rsid w:val="0EA612FA"/>
    <w:rsid w:val="0EDD23BC"/>
    <w:rsid w:val="0EF632FA"/>
    <w:rsid w:val="0F0517F9"/>
    <w:rsid w:val="0F233951"/>
    <w:rsid w:val="0F4E5291"/>
    <w:rsid w:val="0F802C2A"/>
    <w:rsid w:val="0FA52275"/>
    <w:rsid w:val="0FF71687"/>
    <w:rsid w:val="10073A12"/>
    <w:rsid w:val="10242995"/>
    <w:rsid w:val="103F3D25"/>
    <w:rsid w:val="10567490"/>
    <w:rsid w:val="10924860"/>
    <w:rsid w:val="10B25489"/>
    <w:rsid w:val="10B77D5E"/>
    <w:rsid w:val="10C948EA"/>
    <w:rsid w:val="11013334"/>
    <w:rsid w:val="110F29EB"/>
    <w:rsid w:val="11154DB3"/>
    <w:rsid w:val="1125578F"/>
    <w:rsid w:val="1142151C"/>
    <w:rsid w:val="11584547"/>
    <w:rsid w:val="11B803E3"/>
    <w:rsid w:val="11E313AE"/>
    <w:rsid w:val="121F5337"/>
    <w:rsid w:val="12590794"/>
    <w:rsid w:val="12700445"/>
    <w:rsid w:val="12D270FE"/>
    <w:rsid w:val="12F92FCD"/>
    <w:rsid w:val="13163595"/>
    <w:rsid w:val="134A3213"/>
    <w:rsid w:val="135544CB"/>
    <w:rsid w:val="13B47386"/>
    <w:rsid w:val="13D047FA"/>
    <w:rsid w:val="140A5109"/>
    <w:rsid w:val="14627B07"/>
    <w:rsid w:val="147F0940"/>
    <w:rsid w:val="1495642C"/>
    <w:rsid w:val="14A91FC6"/>
    <w:rsid w:val="14D503D0"/>
    <w:rsid w:val="14F564FC"/>
    <w:rsid w:val="14FB7CE6"/>
    <w:rsid w:val="15A379E8"/>
    <w:rsid w:val="15B3486E"/>
    <w:rsid w:val="15C852A0"/>
    <w:rsid w:val="15DD32CF"/>
    <w:rsid w:val="15ED499E"/>
    <w:rsid w:val="162A0D38"/>
    <w:rsid w:val="163E1FB5"/>
    <w:rsid w:val="164C2546"/>
    <w:rsid w:val="1671084C"/>
    <w:rsid w:val="16812655"/>
    <w:rsid w:val="16B54C35"/>
    <w:rsid w:val="16F9460E"/>
    <w:rsid w:val="17006957"/>
    <w:rsid w:val="17010E58"/>
    <w:rsid w:val="17526B40"/>
    <w:rsid w:val="17881643"/>
    <w:rsid w:val="17AF1E1D"/>
    <w:rsid w:val="17BE5E36"/>
    <w:rsid w:val="17EE05A8"/>
    <w:rsid w:val="18162133"/>
    <w:rsid w:val="18274990"/>
    <w:rsid w:val="186E637B"/>
    <w:rsid w:val="187A77EE"/>
    <w:rsid w:val="18825DCA"/>
    <w:rsid w:val="18A11F85"/>
    <w:rsid w:val="18BB236B"/>
    <w:rsid w:val="18C10D8C"/>
    <w:rsid w:val="18D33856"/>
    <w:rsid w:val="18D340CB"/>
    <w:rsid w:val="18E401B4"/>
    <w:rsid w:val="19233AB4"/>
    <w:rsid w:val="193451A4"/>
    <w:rsid w:val="19515F00"/>
    <w:rsid w:val="199A6F4C"/>
    <w:rsid w:val="19B25567"/>
    <w:rsid w:val="19B36E89"/>
    <w:rsid w:val="19B9490E"/>
    <w:rsid w:val="19CB1816"/>
    <w:rsid w:val="19CF77AC"/>
    <w:rsid w:val="19D607CF"/>
    <w:rsid w:val="19D9534F"/>
    <w:rsid w:val="19E60A93"/>
    <w:rsid w:val="19EC4058"/>
    <w:rsid w:val="1A2A2353"/>
    <w:rsid w:val="1A2A68D9"/>
    <w:rsid w:val="1A662FB1"/>
    <w:rsid w:val="1A7C77D9"/>
    <w:rsid w:val="1AC02F34"/>
    <w:rsid w:val="1B3568BA"/>
    <w:rsid w:val="1B5779D5"/>
    <w:rsid w:val="1B5F2B71"/>
    <w:rsid w:val="1B5F5BC3"/>
    <w:rsid w:val="1B662708"/>
    <w:rsid w:val="1BAC3858"/>
    <w:rsid w:val="1BF126E8"/>
    <w:rsid w:val="1C5C2829"/>
    <w:rsid w:val="1C6110A8"/>
    <w:rsid w:val="1C6136F5"/>
    <w:rsid w:val="1C6C3E02"/>
    <w:rsid w:val="1C803656"/>
    <w:rsid w:val="1C904157"/>
    <w:rsid w:val="1CE2791E"/>
    <w:rsid w:val="1CE3453F"/>
    <w:rsid w:val="1CF850F8"/>
    <w:rsid w:val="1CF96E1F"/>
    <w:rsid w:val="1D0A14E8"/>
    <w:rsid w:val="1D2D14EE"/>
    <w:rsid w:val="1D5864FD"/>
    <w:rsid w:val="1D7B7EAB"/>
    <w:rsid w:val="1DA3195C"/>
    <w:rsid w:val="1DC04F9F"/>
    <w:rsid w:val="1DE92B23"/>
    <w:rsid w:val="1E0E75D4"/>
    <w:rsid w:val="1E2D31E8"/>
    <w:rsid w:val="1E5B55C8"/>
    <w:rsid w:val="1E6908EA"/>
    <w:rsid w:val="1E977324"/>
    <w:rsid w:val="1EAC1126"/>
    <w:rsid w:val="1EAD5731"/>
    <w:rsid w:val="1F0B5B77"/>
    <w:rsid w:val="1F3F0D5D"/>
    <w:rsid w:val="1F746F81"/>
    <w:rsid w:val="1FA013B8"/>
    <w:rsid w:val="1FED2B80"/>
    <w:rsid w:val="20186E6C"/>
    <w:rsid w:val="206316B5"/>
    <w:rsid w:val="208C5442"/>
    <w:rsid w:val="20AA2037"/>
    <w:rsid w:val="20D22B9B"/>
    <w:rsid w:val="20DF30E6"/>
    <w:rsid w:val="210B1554"/>
    <w:rsid w:val="21334C81"/>
    <w:rsid w:val="21600F64"/>
    <w:rsid w:val="21880846"/>
    <w:rsid w:val="21C45B13"/>
    <w:rsid w:val="21CC5BCB"/>
    <w:rsid w:val="2209059C"/>
    <w:rsid w:val="22254C4D"/>
    <w:rsid w:val="22605614"/>
    <w:rsid w:val="22970399"/>
    <w:rsid w:val="22E05540"/>
    <w:rsid w:val="230B5CEC"/>
    <w:rsid w:val="232D22B0"/>
    <w:rsid w:val="235E2343"/>
    <w:rsid w:val="2368614C"/>
    <w:rsid w:val="23906722"/>
    <w:rsid w:val="23A06920"/>
    <w:rsid w:val="24004303"/>
    <w:rsid w:val="24145536"/>
    <w:rsid w:val="241F1A4B"/>
    <w:rsid w:val="24265FB9"/>
    <w:rsid w:val="24416CE3"/>
    <w:rsid w:val="244B2840"/>
    <w:rsid w:val="2453738C"/>
    <w:rsid w:val="247E3093"/>
    <w:rsid w:val="247F5174"/>
    <w:rsid w:val="24AD2296"/>
    <w:rsid w:val="24D40A88"/>
    <w:rsid w:val="250528B0"/>
    <w:rsid w:val="25061E11"/>
    <w:rsid w:val="252B6B5B"/>
    <w:rsid w:val="257829F7"/>
    <w:rsid w:val="258C7EDA"/>
    <w:rsid w:val="25AC55EF"/>
    <w:rsid w:val="25DD52F2"/>
    <w:rsid w:val="25F71B5A"/>
    <w:rsid w:val="26270381"/>
    <w:rsid w:val="262F1EEF"/>
    <w:rsid w:val="26604556"/>
    <w:rsid w:val="26C83DB6"/>
    <w:rsid w:val="26D468DF"/>
    <w:rsid w:val="26D93409"/>
    <w:rsid w:val="26DE72B5"/>
    <w:rsid w:val="26EF621A"/>
    <w:rsid w:val="26FB054E"/>
    <w:rsid w:val="270846C4"/>
    <w:rsid w:val="270B43EA"/>
    <w:rsid w:val="274261F5"/>
    <w:rsid w:val="27440760"/>
    <w:rsid w:val="276E6E06"/>
    <w:rsid w:val="27710810"/>
    <w:rsid w:val="27AC385B"/>
    <w:rsid w:val="27C75DAF"/>
    <w:rsid w:val="27E106FE"/>
    <w:rsid w:val="27E70979"/>
    <w:rsid w:val="27FDC549"/>
    <w:rsid w:val="28043432"/>
    <w:rsid w:val="28216FD2"/>
    <w:rsid w:val="2830013E"/>
    <w:rsid w:val="28357716"/>
    <w:rsid w:val="284C2B12"/>
    <w:rsid w:val="28947A10"/>
    <w:rsid w:val="29006482"/>
    <w:rsid w:val="290C02AF"/>
    <w:rsid w:val="292656AF"/>
    <w:rsid w:val="29425C46"/>
    <w:rsid w:val="294D5D55"/>
    <w:rsid w:val="297D4D3B"/>
    <w:rsid w:val="29D97536"/>
    <w:rsid w:val="29DF067B"/>
    <w:rsid w:val="29EA35D3"/>
    <w:rsid w:val="2A436327"/>
    <w:rsid w:val="2A624569"/>
    <w:rsid w:val="2A682B5C"/>
    <w:rsid w:val="2A9B6C10"/>
    <w:rsid w:val="2AC463B4"/>
    <w:rsid w:val="2B001BEB"/>
    <w:rsid w:val="2B4C2AC5"/>
    <w:rsid w:val="2B63714B"/>
    <w:rsid w:val="2BA7274F"/>
    <w:rsid w:val="2BB55721"/>
    <w:rsid w:val="2BD4634C"/>
    <w:rsid w:val="2BF023DA"/>
    <w:rsid w:val="2C0855AA"/>
    <w:rsid w:val="2C204E94"/>
    <w:rsid w:val="2C2737F0"/>
    <w:rsid w:val="2C4F5E7E"/>
    <w:rsid w:val="2C6170A5"/>
    <w:rsid w:val="2C952E57"/>
    <w:rsid w:val="2C9A1510"/>
    <w:rsid w:val="2CAE0B17"/>
    <w:rsid w:val="2CB203AC"/>
    <w:rsid w:val="2CEA239D"/>
    <w:rsid w:val="2CFB3109"/>
    <w:rsid w:val="2D134D45"/>
    <w:rsid w:val="2D2219EF"/>
    <w:rsid w:val="2D27747B"/>
    <w:rsid w:val="2D2F5925"/>
    <w:rsid w:val="2D343226"/>
    <w:rsid w:val="2D3D4DD6"/>
    <w:rsid w:val="2D3F54E0"/>
    <w:rsid w:val="2D4349FC"/>
    <w:rsid w:val="2D4C133D"/>
    <w:rsid w:val="2D4C6D7E"/>
    <w:rsid w:val="2D601795"/>
    <w:rsid w:val="2D994590"/>
    <w:rsid w:val="2DA17AFE"/>
    <w:rsid w:val="2DF237AE"/>
    <w:rsid w:val="2E1B7662"/>
    <w:rsid w:val="2E1E5F27"/>
    <w:rsid w:val="2E635E79"/>
    <w:rsid w:val="2EBB5F72"/>
    <w:rsid w:val="2EBC27AA"/>
    <w:rsid w:val="2ED916E0"/>
    <w:rsid w:val="2F0603A1"/>
    <w:rsid w:val="2F3A280F"/>
    <w:rsid w:val="2F3C1A2D"/>
    <w:rsid w:val="2F4A2787"/>
    <w:rsid w:val="2F5279CC"/>
    <w:rsid w:val="2F6B4286"/>
    <w:rsid w:val="2FB56E77"/>
    <w:rsid w:val="2FF14450"/>
    <w:rsid w:val="2FFB51B0"/>
    <w:rsid w:val="301268B1"/>
    <w:rsid w:val="30423A77"/>
    <w:rsid w:val="30493B8F"/>
    <w:rsid w:val="30543732"/>
    <w:rsid w:val="305F4675"/>
    <w:rsid w:val="307A5F46"/>
    <w:rsid w:val="308F23A0"/>
    <w:rsid w:val="30C9346B"/>
    <w:rsid w:val="30EE7B24"/>
    <w:rsid w:val="30F75AD5"/>
    <w:rsid w:val="31221663"/>
    <w:rsid w:val="313D44E3"/>
    <w:rsid w:val="3190076F"/>
    <w:rsid w:val="31CE0B2E"/>
    <w:rsid w:val="31D125D7"/>
    <w:rsid w:val="322F6D90"/>
    <w:rsid w:val="325029B8"/>
    <w:rsid w:val="32517AFD"/>
    <w:rsid w:val="32520100"/>
    <w:rsid w:val="32A27D61"/>
    <w:rsid w:val="32AD5A91"/>
    <w:rsid w:val="331C66A1"/>
    <w:rsid w:val="3352708F"/>
    <w:rsid w:val="33562B12"/>
    <w:rsid w:val="3369209D"/>
    <w:rsid w:val="33825082"/>
    <w:rsid w:val="33C64164"/>
    <w:rsid w:val="33FB6A7E"/>
    <w:rsid w:val="347344B7"/>
    <w:rsid w:val="34B87C3F"/>
    <w:rsid w:val="34BA33B8"/>
    <w:rsid w:val="34C44FA1"/>
    <w:rsid w:val="34D0311F"/>
    <w:rsid w:val="34D93DE9"/>
    <w:rsid w:val="350D449E"/>
    <w:rsid w:val="352C34F0"/>
    <w:rsid w:val="366A55B9"/>
    <w:rsid w:val="36826596"/>
    <w:rsid w:val="36990952"/>
    <w:rsid w:val="36A05A36"/>
    <w:rsid w:val="36A5046F"/>
    <w:rsid w:val="36AF48BF"/>
    <w:rsid w:val="36EE67C0"/>
    <w:rsid w:val="36EF2BC0"/>
    <w:rsid w:val="36FB3646"/>
    <w:rsid w:val="373805A7"/>
    <w:rsid w:val="37767AE9"/>
    <w:rsid w:val="37BD234A"/>
    <w:rsid w:val="380642E2"/>
    <w:rsid w:val="383166DB"/>
    <w:rsid w:val="38375CB1"/>
    <w:rsid w:val="385839D6"/>
    <w:rsid w:val="38E16F84"/>
    <w:rsid w:val="38E43E04"/>
    <w:rsid w:val="392D58ED"/>
    <w:rsid w:val="393173E2"/>
    <w:rsid w:val="394C184C"/>
    <w:rsid w:val="396D0E78"/>
    <w:rsid w:val="39785D68"/>
    <w:rsid w:val="397F2CB0"/>
    <w:rsid w:val="39C45CA1"/>
    <w:rsid w:val="39C577C8"/>
    <w:rsid w:val="3A5A5A1A"/>
    <w:rsid w:val="3A5D22E7"/>
    <w:rsid w:val="3A7B3E1E"/>
    <w:rsid w:val="3AAE314C"/>
    <w:rsid w:val="3AB8583D"/>
    <w:rsid w:val="3AF35C5F"/>
    <w:rsid w:val="3B2001AC"/>
    <w:rsid w:val="3B253A65"/>
    <w:rsid w:val="3B2D54EE"/>
    <w:rsid w:val="3B832AE2"/>
    <w:rsid w:val="3BD0670F"/>
    <w:rsid w:val="3BDE4BA7"/>
    <w:rsid w:val="3C3E7321"/>
    <w:rsid w:val="3C41552D"/>
    <w:rsid w:val="3C5E53ED"/>
    <w:rsid w:val="3C951EC9"/>
    <w:rsid w:val="3C9B3F0D"/>
    <w:rsid w:val="3CB92E18"/>
    <w:rsid w:val="3CBD44CF"/>
    <w:rsid w:val="3CD9412D"/>
    <w:rsid w:val="3CF54B95"/>
    <w:rsid w:val="3D234E82"/>
    <w:rsid w:val="3D930B3B"/>
    <w:rsid w:val="3DA02F62"/>
    <w:rsid w:val="3E3E4744"/>
    <w:rsid w:val="3E416AFE"/>
    <w:rsid w:val="3E452B90"/>
    <w:rsid w:val="3E783DB5"/>
    <w:rsid w:val="3E7C27CE"/>
    <w:rsid w:val="3E9C3F6D"/>
    <w:rsid w:val="3EC22BAE"/>
    <w:rsid w:val="3EDD647A"/>
    <w:rsid w:val="3F123024"/>
    <w:rsid w:val="3F322658"/>
    <w:rsid w:val="3F6947D8"/>
    <w:rsid w:val="3F9C4267"/>
    <w:rsid w:val="3FB53723"/>
    <w:rsid w:val="3FC22361"/>
    <w:rsid w:val="3FFD8577"/>
    <w:rsid w:val="400920A8"/>
    <w:rsid w:val="400A0BC7"/>
    <w:rsid w:val="40532060"/>
    <w:rsid w:val="40585659"/>
    <w:rsid w:val="408D7DF7"/>
    <w:rsid w:val="40EB48AF"/>
    <w:rsid w:val="40EF645B"/>
    <w:rsid w:val="40F06099"/>
    <w:rsid w:val="40FF67DD"/>
    <w:rsid w:val="412A4EB2"/>
    <w:rsid w:val="415D109C"/>
    <w:rsid w:val="416C6026"/>
    <w:rsid w:val="418D5BB6"/>
    <w:rsid w:val="41B869B8"/>
    <w:rsid w:val="41E443BE"/>
    <w:rsid w:val="41E73ED3"/>
    <w:rsid w:val="41F041F6"/>
    <w:rsid w:val="41F64722"/>
    <w:rsid w:val="41FF4B35"/>
    <w:rsid w:val="424706A7"/>
    <w:rsid w:val="426444E1"/>
    <w:rsid w:val="427E1F17"/>
    <w:rsid w:val="42E338F6"/>
    <w:rsid w:val="431B6C88"/>
    <w:rsid w:val="43211F27"/>
    <w:rsid w:val="43296D0F"/>
    <w:rsid w:val="43434FEC"/>
    <w:rsid w:val="437A1BF0"/>
    <w:rsid w:val="43877624"/>
    <w:rsid w:val="43B237DA"/>
    <w:rsid w:val="43CA280D"/>
    <w:rsid w:val="43F66A11"/>
    <w:rsid w:val="440E1D91"/>
    <w:rsid w:val="44471208"/>
    <w:rsid w:val="44542398"/>
    <w:rsid w:val="44843DAD"/>
    <w:rsid w:val="4499106C"/>
    <w:rsid w:val="44A80DF9"/>
    <w:rsid w:val="44B13A3F"/>
    <w:rsid w:val="44CA6470"/>
    <w:rsid w:val="45095B9F"/>
    <w:rsid w:val="45104ED9"/>
    <w:rsid w:val="452642F4"/>
    <w:rsid w:val="45A673AE"/>
    <w:rsid w:val="45DB083F"/>
    <w:rsid w:val="45DB408C"/>
    <w:rsid w:val="45DF5D89"/>
    <w:rsid w:val="46274B29"/>
    <w:rsid w:val="463F0F1F"/>
    <w:rsid w:val="46414AF3"/>
    <w:rsid w:val="4668255C"/>
    <w:rsid w:val="46823974"/>
    <w:rsid w:val="46BE496C"/>
    <w:rsid w:val="46E53C65"/>
    <w:rsid w:val="474C147D"/>
    <w:rsid w:val="476D2079"/>
    <w:rsid w:val="478B4D5C"/>
    <w:rsid w:val="47997BB5"/>
    <w:rsid w:val="47B42327"/>
    <w:rsid w:val="47F34FCF"/>
    <w:rsid w:val="485523F0"/>
    <w:rsid w:val="48651873"/>
    <w:rsid w:val="487B2C47"/>
    <w:rsid w:val="488B6342"/>
    <w:rsid w:val="48F16D90"/>
    <w:rsid w:val="498A5448"/>
    <w:rsid w:val="4A216B47"/>
    <w:rsid w:val="4A284CFD"/>
    <w:rsid w:val="4A375BAA"/>
    <w:rsid w:val="4A703D85"/>
    <w:rsid w:val="4A7323A7"/>
    <w:rsid w:val="4AEE640C"/>
    <w:rsid w:val="4AFD4C7B"/>
    <w:rsid w:val="4B08297C"/>
    <w:rsid w:val="4B234A68"/>
    <w:rsid w:val="4B3667C1"/>
    <w:rsid w:val="4B4277BB"/>
    <w:rsid w:val="4B554F81"/>
    <w:rsid w:val="4B8D0273"/>
    <w:rsid w:val="4BC126E2"/>
    <w:rsid w:val="4BD702E7"/>
    <w:rsid w:val="4BE90FB4"/>
    <w:rsid w:val="4BEC20E3"/>
    <w:rsid w:val="4C196A63"/>
    <w:rsid w:val="4C7843AA"/>
    <w:rsid w:val="4C844327"/>
    <w:rsid w:val="4C8F302E"/>
    <w:rsid w:val="4C9E5D43"/>
    <w:rsid w:val="4CD72FB7"/>
    <w:rsid w:val="4CDC0EB7"/>
    <w:rsid w:val="4CE00331"/>
    <w:rsid w:val="4CF26B7A"/>
    <w:rsid w:val="4D17698C"/>
    <w:rsid w:val="4D333307"/>
    <w:rsid w:val="4D3D2422"/>
    <w:rsid w:val="4D5A0123"/>
    <w:rsid w:val="4DA51238"/>
    <w:rsid w:val="4DCA7E75"/>
    <w:rsid w:val="4DF3347D"/>
    <w:rsid w:val="4E014703"/>
    <w:rsid w:val="4E2C4007"/>
    <w:rsid w:val="4E505F64"/>
    <w:rsid w:val="4E815E66"/>
    <w:rsid w:val="4EF710A8"/>
    <w:rsid w:val="4F4B05A8"/>
    <w:rsid w:val="4F53402A"/>
    <w:rsid w:val="4F9B5B7A"/>
    <w:rsid w:val="4FAF07F9"/>
    <w:rsid w:val="500B2D00"/>
    <w:rsid w:val="50370D76"/>
    <w:rsid w:val="507B33EA"/>
    <w:rsid w:val="50911690"/>
    <w:rsid w:val="50DB0924"/>
    <w:rsid w:val="50F65069"/>
    <w:rsid w:val="510E1558"/>
    <w:rsid w:val="511238D4"/>
    <w:rsid w:val="512B4AB9"/>
    <w:rsid w:val="51803E48"/>
    <w:rsid w:val="51A34ED7"/>
    <w:rsid w:val="51C64060"/>
    <w:rsid w:val="51CC1773"/>
    <w:rsid w:val="51DE17D9"/>
    <w:rsid w:val="51DF2492"/>
    <w:rsid w:val="51E76C31"/>
    <w:rsid w:val="51F56B1E"/>
    <w:rsid w:val="522470B3"/>
    <w:rsid w:val="537D469C"/>
    <w:rsid w:val="538945BA"/>
    <w:rsid w:val="539A34D7"/>
    <w:rsid w:val="53E800DF"/>
    <w:rsid w:val="53EC2500"/>
    <w:rsid w:val="54324BBD"/>
    <w:rsid w:val="54466608"/>
    <w:rsid w:val="548E3187"/>
    <w:rsid w:val="549A4334"/>
    <w:rsid w:val="54E212CB"/>
    <w:rsid w:val="54F66FA9"/>
    <w:rsid w:val="54F84291"/>
    <w:rsid w:val="55007A41"/>
    <w:rsid w:val="55136E2C"/>
    <w:rsid w:val="551634A5"/>
    <w:rsid w:val="55287CA8"/>
    <w:rsid w:val="558666E5"/>
    <w:rsid w:val="559A4FB7"/>
    <w:rsid w:val="55AA0013"/>
    <w:rsid w:val="55BD3804"/>
    <w:rsid w:val="55C448D4"/>
    <w:rsid w:val="55D17BFC"/>
    <w:rsid w:val="562167E1"/>
    <w:rsid w:val="562D56EF"/>
    <w:rsid w:val="56391DCA"/>
    <w:rsid w:val="56565F8E"/>
    <w:rsid w:val="566A512A"/>
    <w:rsid w:val="567100BB"/>
    <w:rsid w:val="56892354"/>
    <w:rsid w:val="56B109A1"/>
    <w:rsid w:val="57011DBA"/>
    <w:rsid w:val="57293748"/>
    <w:rsid w:val="575764EB"/>
    <w:rsid w:val="577A0069"/>
    <w:rsid w:val="578219C3"/>
    <w:rsid w:val="57A83A14"/>
    <w:rsid w:val="57A90050"/>
    <w:rsid w:val="57C11682"/>
    <w:rsid w:val="57CC0EB8"/>
    <w:rsid w:val="58043F47"/>
    <w:rsid w:val="580823FC"/>
    <w:rsid w:val="581B4A6D"/>
    <w:rsid w:val="584E74D1"/>
    <w:rsid w:val="5870229A"/>
    <w:rsid w:val="587E04A6"/>
    <w:rsid w:val="58B17683"/>
    <w:rsid w:val="58B907CE"/>
    <w:rsid w:val="591C5BB6"/>
    <w:rsid w:val="59310F20"/>
    <w:rsid w:val="59432C66"/>
    <w:rsid w:val="5952308F"/>
    <w:rsid w:val="5980489F"/>
    <w:rsid w:val="598633F7"/>
    <w:rsid w:val="59A538E7"/>
    <w:rsid w:val="59C22940"/>
    <w:rsid w:val="59EA2CD9"/>
    <w:rsid w:val="5A39041A"/>
    <w:rsid w:val="5A3F5FAF"/>
    <w:rsid w:val="5A432D43"/>
    <w:rsid w:val="5A4C2893"/>
    <w:rsid w:val="5A563893"/>
    <w:rsid w:val="5A851901"/>
    <w:rsid w:val="5AC70D29"/>
    <w:rsid w:val="5ACD0A91"/>
    <w:rsid w:val="5B0647F0"/>
    <w:rsid w:val="5BC73AFD"/>
    <w:rsid w:val="5C2D58E6"/>
    <w:rsid w:val="5C372D98"/>
    <w:rsid w:val="5C711D2F"/>
    <w:rsid w:val="5C815359"/>
    <w:rsid w:val="5C892AD5"/>
    <w:rsid w:val="5C9E3FCC"/>
    <w:rsid w:val="5CA11E8A"/>
    <w:rsid w:val="5CAA4C3D"/>
    <w:rsid w:val="5CB07B66"/>
    <w:rsid w:val="5CDA3A4D"/>
    <w:rsid w:val="5CED1A7A"/>
    <w:rsid w:val="5D2D5741"/>
    <w:rsid w:val="5D7A5B2F"/>
    <w:rsid w:val="5DAC3FA0"/>
    <w:rsid w:val="5E0B5CFE"/>
    <w:rsid w:val="5E5155FF"/>
    <w:rsid w:val="5E7D011C"/>
    <w:rsid w:val="5E872B1F"/>
    <w:rsid w:val="5EDF1CA2"/>
    <w:rsid w:val="5EE04E07"/>
    <w:rsid w:val="5EE57A15"/>
    <w:rsid w:val="5EED1B29"/>
    <w:rsid w:val="5F0A29E1"/>
    <w:rsid w:val="5F5D4835"/>
    <w:rsid w:val="5F87025A"/>
    <w:rsid w:val="5F9067A3"/>
    <w:rsid w:val="5F9326E3"/>
    <w:rsid w:val="5FA07AED"/>
    <w:rsid w:val="5FB05CDB"/>
    <w:rsid w:val="5FB61E72"/>
    <w:rsid w:val="5FBA3FF9"/>
    <w:rsid w:val="5FD71210"/>
    <w:rsid w:val="5FE155FF"/>
    <w:rsid w:val="5FE70AB0"/>
    <w:rsid w:val="5FF376F6"/>
    <w:rsid w:val="600D2EB2"/>
    <w:rsid w:val="6042387F"/>
    <w:rsid w:val="60681EC2"/>
    <w:rsid w:val="606B5493"/>
    <w:rsid w:val="608B7F32"/>
    <w:rsid w:val="610B0DB2"/>
    <w:rsid w:val="615C1EA9"/>
    <w:rsid w:val="618E78A1"/>
    <w:rsid w:val="61B41449"/>
    <w:rsid w:val="61B52ACC"/>
    <w:rsid w:val="61CD595E"/>
    <w:rsid w:val="61F50435"/>
    <w:rsid w:val="624E31A6"/>
    <w:rsid w:val="62770119"/>
    <w:rsid w:val="628A41DC"/>
    <w:rsid w:val="62B71088"/>
    <w:rsid w:val="62DD09E9"/>
    <w:rsid w:val="63456615"/>
    <w:rsid w:val="635856DF"/>
    <w:rsid w:val="636139BC"/>
    <w:rsid w:val="63856EF8"/>
    <w:rsid w:val="63BB6B84"/>
    <w:rsid w:val="63E22063"/>
    <w:rsid w:val="645B401F"/>
    <w:rsid w:val="646B49D5"/>
    <w:rsid w:val="64853AA3"/>
    <w:rsid w:val="64944659"/>
    <w:rsid w:val="64B52F53"/>
    <w:rsid w:val="64D143DC"/>
    <w:rsid w:val="6507003D"/>
    <w:rsid w:val="652400B9"/>
    <w:rsid w:val="6537177C"/>
    <w:rsid w:val="658C06F5"/>
    <w:rsid w:val="659D29BC"/>
    <w:rsid w:val="65B44AAE"/>
    <w:rsid w:val="65D17659"/>
    <w:rsid w:val="65EB4DAD"/>
    <w:rsid w:val="66957C03"/>
    <w:rsid w:val="66CD0896"/>
    <w:rsid w:val="66DD0347"/>
    <w:rsid w:val="673C6884"/>
    <w:rsid w:val="67696832"/>
    <w:rsid w:val="67842F10"/>
    <w:rsid w:val="67BB1F70"/>
    <w:rsid w:val="67C276FB"/>
    <w:rsid w:val="67D03EC5"/>
    <w:rsid w:val="68030CCD"/>
    <w:rsid w:val="68047B83"/>
    <w:rsid w:val="68145ED0"/>
    <w:rsid w:val="6844375D"/>
    <w:rsid w:val="684A3079"/>
    <w:rsid w:val="68735425"/>
    <w:rsid w:val="68DA1AD3"/>
    <w:rsid w:val="6963589B"/>
    <w:rsid w:val="69A52E3C"/>
    <w:rsid w:val="69B144DC"/>
    <w:rsid w:val="69DB1854"/>
    <w:rsid w:val="69E631B0"/>
    <w:rsid w:val="69EA1359"/>
    <w:rsid w:val="69F81010"/>
    <w:rsid w:val="6A006040"/>
    <w:rsid w:val="6A015450"/>
    <w:rsid w:val="6A040BE3"/>
    <w:rsid w:val="6A151C40"/>
    <w:rsid w:val="6A276531"/>
    <w:rsid w:val="6A3A7047"/>
    <w:rsid w:val="6B06103C"/>
    <w:rsid w:val="6B084C38"/>
    <w:rsid w:val="6B560413"/>
    <w:rsid w:val="6B96307C"/>
    <w:rsid w:val="6BEE250B"/>
    <w:rsid w:val="6BF17E60"/>
    <w:rsid w:val="6C2D3C64"/>
    <w:rsid w:val="6C5E1C3D"/>
    <w:rsid w:val="6CA156F2"/>
    <w:rsid w:val="6CA376C5"/>
    <w:rsid w:val="6D760D35"/>
    <w:rsid w:val="6D9C0FE4"/>
    <w:rsid w:val="6DA474D8"/>
    <w:rsid w:val="6DC44EDA"/>
    <w:rsid w:val="6DC97648"/>
    <w:rsid w:val="6E1D611F"/>
    <w:rsid w:val="6E4754BA"/>
    <w:rsid w:val="6E6B04F4"/>
    <w:rsid w:val="6E79351A"/>
    <w:rsid w:val="6EB40D6F"/>
    <w:rsid w:val="6ED13BBF"/>
    <w:rsid w:val="6F040F00"/>
    <w:rsid w:val="6F141779"/>
    <w:rsid w:val="6F44343D"/>
    <w:rsid w:val="6F5B4B2E"/>
    <w:rsid w:val="6F842AEE"/>
    <w:rsid w:val="6F850090"/>
    <w:rsid w:val="6FD14068"/>
    <w:rsid w:val="6FD47568"/>
    <w:rsid w:val="6FD91F92"/>
    <w:rsid w:val="6FDC4B5E"/>
    <w:rsid w:val="6FEC6BEC"/>
    <w:rsid w:val="70967C65"/>
    <w:rsid w:val="70A50814"/>
    <w:rsid w:val="70D5734C"/>
    <w:rsid w:val="70E952FD"/>
    <w:rsid w:val="711A42F2"/>
    <w:rsid w:val="71237795"/>
    <w:rsid w:val="717F547D"/>
    <w:rsid w:val="71A62F79"/>
    <w:rsid w:val="71A73B8F"/>
    <w:rsid w:val="72253C9E"/>
    <w:rsid w:val="7229148C"/>
    <w:rsid w:val="723A0AD1"/>
    <w:rsid w:val="72451726"/>
    <w:rsid w:val="724D5962"/>
    <w:rsid w:val="72785B36"/>
    <w:rsid w:val="72CD7E4D"/>
    <w:rsid w:val="72DB34C4"/>
    <w:rsid w:val="73077798"/>
    <w:rsid w:val="738A025C"/>
    <w:rsid w:val="738F007E"/>
    <w:rsid w:val="73AB3D2F"/>
    <w:rsid w:val="73B96F85"/>
    <w:rsid w:val="73C624BE"/>
    <w:rsid w:val="74214D05"/>
    <w:rsid w:val="74310172"/>
    <w:rsid w:val="747665BC"/>
    <w:rsid w:val="749C2402"/>
    <w:rsid w:val="74A92F89"/>
    <w:rsid w:val="74E96819"/>
    <w:rsid w:val="74F21F8B"/>
    <w:rsid w:val="74F33A8C"/>
    <w:rsid w:val="753C5586"/>
    <w:rsid w:val="75414868"/>
    <w:rsid w:val="759454BB"/>
    <w:rsid w:val="759E589A"/>
    <w:rsid w:val="75BF7236"/>
    <w:rsid w:val="75C04997"/>
    <w:rsid w:val="75C335B9"/>
    <w:rsid w:val="75C67E4C"/>
    <w:rsid w:val="75C80BC8"/>
    <w:rsid w:val="75D03F20"/>
    <w:rsid w:val="75DA4F1B"/>
    <w:rsid w:val="75F04518"/>
    <w:rsid w:val="75F45093"/>
    <w:rsid w:val="76814153"/>
    <w:rsid w:val="76992E10"/>
    <w:rsid w:val="76BB24DB"/>
    <w:rsid w:val="76D8044E"/>
    <w:rsid w:val="76F20D2B"/>
    <w:rsid w:val="77261E71"/>
    <w:rsid w:val="77452475"/>
    <w:rsid w:val="77690CCD"/>
    <w:rsid w:val="778C1BFB"/>
    <w:rsid w:val="778F680C"/>
    <w:rsid w:val="77A55F74"/>
    <w:rsid w:val="77D46579"/>
    <w:rsid w:val="77D4794A"/>
    <w:rsid w:val="782E03C8"/>
    <w:rsid w:val="78357D36"/>
    <w:rsid w:val="78961637"/>
    <w:rsid w:val="78A10449"/>
    <w:rsid w:val="78AC0EF3"/>
    <w:rsid w:val="78D14237"/>
    <w:rsid w:val="78D3687E"/>
    <w:rsid w:val="78EA52F9"/>
    <w:rsid w:val="78F36B4E"/>
    <w:rsid w:val="796E3428"/>
    <w:rsid w:val="79B82E62"/>
    <w:rsid w:val="79CE2CAA"/>
    <w:rsid w:val="7A4B37A6"/>
    <w:rsid w:val="7A650BCD"/>
    <w:rsid w:val="7A94376E"/>
    <w:rsid w:val="7AB10BAE"/>
    <w:rsid w:val="7AB25C2E"/>
    <w:rsid w:val="7AC562B4"/>
    <w:rsid w:val="7ADC05F0"/>
    <w:rsid w:val="7AF94FE5"/>
    <w:rsid w:val="7B2B06C7"/>
    <w:rsid w:val="7B2B779C"/>
    <w:rsid w:val="7B3F6743"/>
    <w:rsid w:val="7B5F164A"/>
    <w:rsid w:val="7B6D0992"/>
    <w:rsid w:val="7B853B6B"/>
    <w:rsid w:val="7BA3117B"/>
    <w:rsid w:val="7BFEFC3F"/>
    <w:rsid w:val="7C483429"/>
    <w:rsid w:val="7C49646C"/>
    <w:rsid w:val="7C547083"/>
    <w:rsid w:val="7C783FFA"/>
    <w:rsid w:val="7C817AB4"/>
    <w:rsid w:val="7CAD301A"/>
    <w:rsid w:val="7CD20D26"/>
    <w:rsid w:val="7CEC74B4"/>
    <w:rsid w:val="7CFC3068"/>
    <w:rsid w:val="7D0864A9"/>
    <w:rsid w:val="7D160D5D"/>
    <w:rsid w:val="7D3E6E97"/>
    <w:rsid w:val="7DAD22ED"/>
    <w:rsid w:val="7DB13CBD"/>
    <w:rsid w:val="7DBB5005"/>
    <w:rsid w:val="7DBD1D05"/>
    <w:rsid w:val="7DEF4E15"/>
    <w:rsid w:val="7E08693A"/>
    <w:rsid w:val="7E0C1293"/>
    <w:rsid w:val="7E346B9D"/>
    <w:rsid w:val="7E830234"/>
    <w:rsid w:val="7E863295"/>
    <w:rsid w:val="7EB40ACA"/>
    <w:rsid w:val="7EB775A1"/>
    <w:rsid w:val="7EB90B65"/>
    <w:rsid w:val="7EEB3813"/>
    <w:rsid w:val="7F1F7466"/>
    <w:rsid w:val="7F2E698C"/>
    <w:rsid w:val="7F34107C"/>
    <w:rsid w:val="7F397F15"/>
    <w:rsid w:val="7F50451D"/>
    <w:rsid w:val="7F613D86"/>
    <w:rsid w:val="7F7967DA"/>
    <w:rsid w:val="7FCE5950"/>
    <w:rsid w:val="7FE80712"/>
    <w:rsid w:val="7FFF85E7"/>
    <w:rsid w:val="FFDFFAEC"/>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iPriority="99" w:semiHidden="0"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0" w:semiHidden="0" w:name="caption"/>
    <w:lsdException w:uiPriority="99" w:name="table of figures" w:locked="1"/>
    <w:lsdException w:uiPriority="99" w:name="envelope address" w:locked="1"/>
    <w:lsdException w:uiPriority="99" w:name="envelope return" w:locked="1"/>
    <w:lsdException w:qFormat="1" w:uiPriority="99" w:semiHidden="0" w:name="footnote reference" w:locked="1"/>
    <w:lsdException w:qFormat="1" w:unhideWhenUsed="0" w:uiPriority="99" w:semiHidden="0" w:name="annotation reference"/>
    <w:lsdException w:qFormat="1" w:unhideWhenUsed="0" w:uiPriority="99" w:semiHidden="0" w:name="line number"/>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0" w:semiHidden="0" w:name="List" w:locked="1"/>
    <w:lsdException w:uiPriority="99" w:name="List Bullet" w:locked="1"/>
    <w:lsdException w:uiPriority="99" w:name="List Number" w:locked="1"/>
    <w:lsdException w:qFormat="1" w:unhideWhenUsed="0" w:uiPriority="99" w:semiHidden="0" w:name="List 2"/>
    <w:lsdException w:uiPriority="99" w:name="List 3" w:locked="1"/>
    <w:lsdException w:qFormat="1" w:unhideWhenUsed="0" w:uiPriority="99" w:semiHidden="0" w:name="List 4"/>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0" w:semiHidden="0" w:name="Body Text First Indent 2" w:locked="1"/>
    <w:lsdException w:uiPriority="99" w:name="Note Heading" w:locked="1"/>
    <w:lsdException w:qFormat="1" w:unhideWhenUsed="0" w:uiPriority="99" w:semiHidden="0" w:name="Body Text 2"/>
    <w:lsdException w:qFormat="1" w:unhideWhenUsed="0" w:uiPriority="0" w:semiHidden="0" w:name="Body Text 3" w:locked="1"/>
    <w:lsdException w:qFormat="1" w:unhideWhenUsed="0" w:uiPriority="0"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1504"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59"/>
    <w:qFormat/>
    <w:uiPriority w:val="0"/>
    <w:pPr>
      <w:keepNext/>
      <w:spacing w:line="360" w:lineRule="auto"/>
      <w:outlineLvl w:val="0"/>
    </w:pPr>
    <w:rPr>
      <w:rFonts w:ascii="Times New Roman" w:hAnsi="Times New Roman" w:eastAsia="宋体"/>
      <w:b/>
      <w:sz w:val="48"/>
    </w:rPr>
  </w:style>
  <w:style w:type="paragraph" w:styleId="4">
    <w:name w:val="heading 2"/>
    <w:basedOn w:val="1"/>
    <w:next w:val="1"/>
    <w:link w:val="60"/>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2">
    <w:name w:val="heading 3"/>
    <w:basedOn w:val="1"/>
    <w:next w:val="1"/>
    <w:link w:val="58"/>
    <w:qFormat/>
    <w:uiPriority w:val="0"/>
    <w:pPr>
      <w:keepNext/>
      <w:keepLines/>
      <w:spacing w:before="260" w:after="260" w:line="415" w:lineRule="auto"/>
      <w:outlineLvl w:val="2"/>
    </w:pPr>
    <w:rPr>
      <w:rFonts w:eastAsia="华文新魏"/>
      <w:b/>
      <w:bCs/>
      <w:sz w:val="32"/>
      <w:szCs w:val="32"/>
    </w:rPr>
  </w:style>
  <w:style w:type="paragraph" w:styleId="5">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2"/>
    <w:qFormat/>
    <w:uiPriority w:val="0"/>
    <w:pPr>
      <w:keepNext/>
      <w:keepLines/>
      <w:spacing w:before="280" w:after="290" w:line="376" w:lineRule="auto"/>
      <w:outlineLvl w:val="4"/>
    </w:pPr>
    <w:rPr>
      <w:rFonts w:eastAsia="华文新魏"/>
      <w:b/>
      <w:sz w:val="28"/>
      <w:szCs w:val="20"/>
    </w:rPr>
  </w:style>
  <w:style w:type="paragraph" w:styleId="8">
    <w:name w:val="heading 6"/>
    <w:basedOn w:val="1"/>
    <w:next w:val="1"/>
    <w:link w:val="63"/>
    <w:qFormat/>
    <w:uiPriority w:val="0"/>
    <w:pPr>
      <w:keepNext/>
      <w:keepLines/>
      <w:spacing w:before="240" w:after="64" w:line="319" w:lineRule="auto"/>
      <w:outlineLvl w:val="5"/>
    </w:pPr>
    <w:rPr>
      <w:rFonts w:ascii="Arial" w:hAnsi="Arial" w:eastAsia="黑体"/>
      <w:b/>
      <w:sz w:val="24"/>
      <w:szCs w:val="20"/>
    </w:rPr>
  </w:style>
  <w:style w:type="paragraph" w:styleId="9">
    <w:name w:val="heading 7"/>
    <w:basedOn w:val="1"/>
    <w:next w:val="7"/>
    <w:link w:val="64"/>
    <w:qFormat/>
    <w:uiPriority w:val="0"/>
    <w:pPr>
      <w:keepNext/>
      <w:keepLines/>
      <w:spacing w:before="240" w:after="64" w:line="319" w:lineRule="auto"/>
      <w:outlineLvl w:val="6"/>
    </w:pPr>
    <w:rPr>
      <w:rFonts w:eastAsia="华文新魏"/>
      <w:b/>
      <w:sz w:val="24"/>
      <w:szCs w:val="20"/>
    </w:rPr>
  </w:style>
  <w:style w:type="paragraph" w:styleId="10">
    <w:name w:val="heading 8"/>
    <w:basedOn w:val="1"/>
    <w:next w:val="7"/>
    <w:link w:val="65"/>
    <w:qFormat/>
    <w:uiPriority w:val="0"/>
    <w:pPr>
      <w:keepNext/>
      <w:keepLines/>
      <w:spacing w:before="240" w:after="64" w:line="319" w:lineRule="auto"/>
      <w:outlineLvl w:val="7"/>
    </w:pPr>
    <w:rPr>
      <w:rFonts w:ascii="Arial" w:hAnsi="Arial" w:eastAsia="黑体"/>
      <w:sz w:val="24"/>
      <w:szCs w:val="20"/>
    </w:rPr>
  </w:style>
  <w:style w:type="paragraph" w:styleId="11">
    <w:name w:val="heading 9"/>
    <w:basedOn w:val="1"/>
    <w:next w:val="7"/>
    <w:link w:val="66"/>
    <w:qFormat/>
    <w:uiPriority w:val="0"/>
    <w:pPr>
      <w:keepNext/>
      <w:keepLines/>
      <w:spacing w:before="240" w:after="64" w:line="319" w:lineRule="auto"/>
      <w:outlineLvl w:val="8"/>
    </w:pPr>
    <w:rPr>
      <w:rFonts w:ascii="Arial" w:hAnsi="Arial" w:eastAsia="黑体"/>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99"/>
    <w:pPr>
      <w:ind w:firstLine="420"/>
    </w:pPr>
    <w:rPr>
      <w:rFonts w:eastAsia="华文新魏"/>
      <w:szCs w:val="20"/>
    </w:rPr>
  </w:style>
  <w:style w:type="paragraph" w:styleId="12">
    <w:name w:val="toc 7"/>
    <w:basedOn w:val="1"/>
    <w:next w:val="1"/>
    <w:qFormat/>
    <w:uiPriority w:val="39"/>
    <w:pPr>
      <w:ind w:left="1260"/>
      <w:jc w:val="left"/>
    </w:pPr>
    <w:rPr>
      <w:rFonts w:ascii="等线" w:hAnsi="等线" w:eastAsia="等线"/>
      <w:sz w:val="18"/>
      <w:szCs w:val="18"/>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67"/>
    <w:qFormat/>
    <w:uiPriority w:val="99"/>
    <w:rPr>
      <w:rFonts w:ascii="宋体" w:eastAsia="华文新魏"/>
      <w:sz w:val="18"/>
      <w:szCs w:val="18"/>
    </w:rPr>
  </w:style>
  <w:style w:type="paragraph" w:styleId="15">
    <w:name w:val="annotation text"/>
    <w:basedOn w:val="1"/>
    <w:link w:val="68"/>
    <w:qFormat/>
    <w:uiPriority w:val="0"/>
    <w:pPr>
      <w:jc w:val="left"/>
    </w:pPr>
  </w:style>
  <w:style w:type="paragraph" w:styleId="16">
    <w:name w:val="Body Text 3"/>
    <w:basedOn w:val="1"/>
    <w:qFormat/>
    <w:locked/>
    <w:uiPriority w:val="0"/>
    <w:pPr>
      <w:spacing w:line="500" w:lineRule="exact"/>
    </w:pPr>
    <w:rPr>
      <w:b/>
      <w:bCs/>
      <w:kern w:val="0"/>
      <w:sz w:val="24"/>
    </w:rPr>
  </w:style>
  <w:style w:type="paragraph" w:styleId="17">
    <w:name w:val="Body Text"/>
    <w:basedOn w:val="1"/>
    <w:next w:val="1"/>
    <w:link w:val="69"/>
    <w:qFormat/>
    <w:uiPriority w:val="99"/>
    <w:pPr>
      <w:spacing w:after="120"/>
    </w:pPr>
  </w:style>
  <w:style w:type="paragraph" w:styleId="18">
    <w:name w:val="Body Text Indent"/>
    <w:basedOn w:val="1"/>
    <w:next w:val="19"/>
    <w:link w:val="70"/>
    <w:qFormat/>
    <w:uiPriority w:val="99"/>
    <w:pPr>
      <w:spacing w:line="200" w:lineRule="exact"/>
      <w:ind w:firstLine="301"/>
    </w:pPr>
    <w:rPr>
      <w:rFonts w:ascii="宋体" w:eastAsia="华文新魏"/>
      <w:spacing w:val="-4"/>
      <w:sz w:val="18"/>
      <w:szCs w:val="20"/>
    </w:rPr>
  </w:style>
  <w:style w:type="paragraph" w:styleId="19">
    <w:name w:val="header"/>
    <w:basedOn w:val="1"/>
    <w:link w:val="76"/>
    <w:qFormat/>
    <w:uiPriority w:val="99"/>
    <w:pPr>
      <w:pBdr>
        <w:bottom w:val="single" w:color="auto" w:sz="6" w:space="1"/>
      </w:pBdr>
      <w:tabs>
        <w:tab w:val="center" w:pos="4153"/>
        <w:tab w:val="right" w:pos="8306"/>
      </w:tabs>
      <w:snapToGrid w:val="0"/>
      <w:jc w:val="center"/>
    </w:pPr>
    <w:rPr>
      <w:rFonts w:ascii="宋体" w:eastAsia="华文新魏"/>
      <w:sz w:val="18"/>
      <w:szCs w:val="20"/>
    </w:rPr>
  </w:style>
  <w:style w:type="paragraph" w:styleId="20">
    <w:name w:val="List 2"/>
    <w:basedOn w:val="1"/>
    <w:qFormat/>
    <w:uiPriority w:val="99"/>
    <w:pPr>
      <w:tabs>
        <w:tab w:val="left" w:pos="0"/>
      </w:tabs>
      <w:spacing w:line="360" w:lineRule="auto"/>
      <w:ind w:left="454"/>
    </w:pPr>
    <w:rPr>
      <w:rFonts w:eastAsia="华文新魏"/>
      <w:sz w:val="24"/>
    </w:rPr>
  </w:style>
  <w:style w:type="paragraph" w:styleId="21">
    <w:name w:val="toc 5"/>
    <w:basedOn w:val="1"/>
    <w:next w:val="1"/>
    <w:qFormat/>
    <w:uiPriority w:val="39"/>
    <w:pPr>
      <w:ind w:left="840"/>
      <w:jc w:val="left"/>
    </w:pPr>
    <w:rPr>
      <w:rFonts w:ascii="等线" w:hAnsi="等线" w:eastAsia="等线"/>
      <w:sz w:val="18"/>
      <w:szCs w:val="18"/>
    </w:rPr>
  </w:style>
  <w:style w:type="paragraph" w:styleId="22">
    <w:name w:val="toc 3"/>
    <w:basedOn w:val="1"/>
    <w:next w:val="1"/>
    <w:qFormat/>
    <w:uiPriority w:val="39"/>
    <w:pPr>
      <w:ind w:left="400" w:leftChars="400"/>
    </w:pPr>
    <w:rPr>
      <w:rFonts w:eastAsia="华文新魏"/>
    </w:rPr>
  </w:style>
  <w:style w:type="paragraph" w:styleId="23">
    <w:name w:val="Plain Text"/>
    <w:basedOn w:val="1"/>
    <w:link w:val="71"/>
    <w:qFormat/>
    <w:uiPriority w:val="0"/>
    <w:rPr>
      <w:rFonts w:ascii="宋体"/>
      <w:kern w:val="0"/>
      <w:sz w:val="20"/>
      <w:szCs w:val="20"/>
    </w:rPr>
  </w:style>
  <w:style w:type="paragraph" w:styleId="24">
    <w:name w:val="toc 8"/>
    <w:basedOn w:val="1"/>
    <w:next w:val="1"/>
    <w:qFormat/>
    <w:uiPriority w:val="39"/>
    <w:pPr>
      <w:ind w:left="1470"/>
      <w:jc w:val="left"/>
    </w:pPr>
    <w:rPr>
      <w:rFonts w:ascii="等线" w:hAnsi="等线" w:eastAsia="等线"/>
      <w:sz w:val="18"/>
      <w:szCs w:val="18"/>
    </w:rPr>
  </w:style>
  <w:style w:type="paragraph" w:styleId="25">
    <w:name w:val="Date"/>
    <w:basedOn w:val="1"/>
    <w:next w:val="1"/>
    <w:link w:val="72"/>
    <w:qFormat/>
    <w:uiPriority w:val="99"/>
    <w:pPr>
      <w:ind w:left="2500" w:leftChars="2500"/>
    </w:pPr>
    <w:rPr>
      <w:rFonts w:ascii="宋体" w:eastAsia="华文新魏"/>
      <w:bCs/>
      <w:sz w:val="24"/>
      <w:szCs w:val="20"/>
    </w:rPr>
  </w:style>
  <w:style w:type="paragraph" w:styleId="26">
    <w:name w:val="Body Text Indent 2"/>
    <w:basedOn w:val="1"/>
    <w:link w:val="73"/>
    <w:qFormat/>
    <w:uiPriority w:val="0"/>
    <w:pPr>
      <w:ind w:firstLine="196" w:firstLineChars="196"/>
    </w:pPr>
    <w:rPr>
      <w:rFonts w:eastAsia="华文新魏"/>
    </w:rPr>
  </w:style>
  <w:style w:type="paragraph" w:styleId="27">
    <w:name w:val="Balloon Text"/>
    <w:basedOn w:val="1"/>
    <w:link w:val="74"/>
    <w:qFormat/>
    <w:uiPriority w:val="99"/>
    <w:rPr>
      <w:rFonts w:eastAsia="华文新魏"/>
      <w:sz w:val="18"/>
      <w:szCs w:val="18"/>
    </w:rPr>
  </w:style>
  <w:style w:type="paragraph" w:styleId="28">
    <w:name w:val="footer"/>
    <w:basedOn w:val="1"/>
    <w:link w:val="75"/>
    <w:qFormat/>
    <w:uiPriority w:val="99"/>
    <w:pPr>
      <w:tabs>
        <w:tab w:val="center" w:pos="4153"/>
        <w:tab w:val="right" w:pos="8306"/>
      </w:tabs>
      <w:snapToGrid w:val="0"/>
      <w:jc w:val="left"/>
    </w:pPr>
    <w:rPr>
      <w:rFonts w:ascii="宋体"/>
      <w:kern w:val="0"/>
      <w:sz w:val="18"/>
      <w:szCs w:val="20"/>
    </w:rPr>
  </w:style>
  <w:style w:type="paragraph" w:styleId="29">
    <w:name w:val="toc 1"/>
    <w:basedOn w:val="1"/>
    <w:next w:val="1"/>
    <w:qFormat/>
    <w:uiPriority w:val="39"/>
    <w:pPr>
      <w:tabs>
        <w:tab w:val="right" w:leader="dot" w:pos="9628"/>
      </w:tabs>
      <w:spacing w:line="640" w:lineRule="exact"/>
    </w:pPr>
    <w:rPr>
      <w:rFonts w:ascii="宋体" w:hAnsi="宋体" w:eastAsia="黑体"/>
      <w:b/>
      <w:color w:val="FF0000"/>
      <w:sz w:val="32"/>
      <w:szCs w:val="32"/>
    </w:rPr>
  </w:style>
  <w:style w:type="paragraph" w:styleId="30">
    <w:name w:val="toc 4"/>
    <w:basedOn w:val="1"/>
    <w:next w:val="1"/>
    <w:qFormat/>
    <w:uiPriority w:val="39"/>
    <w:pPr>
      <w:ind w:left="630"/>
      <w:jc w:val="left"/>
    </w:pPr>
    <w:rPr>
      <w:rFonts w:ascii="等线" w:hAnsi="等线" w:eastAsia="等线"/>
      <w:sz w:val="18"/>
      <w:szCs w:val="18"/>
    </w:rPr>
  </w:style>
  <w:style w:type="paragraph" w:styleId="31">
    <w:name w:val="List"/>
    <w:basedOn w:val="1"/>
    <w:qFormat/>
    <w:locked/>
    <w:uiPriority w:val="0"/>
    <w:pPr>
      <w:ind w:left="200" w:hanging="200" w:hangingChars="200"/>
    </w:pPr>
    <w:rPr>
      <w:sz w:val="28"/>
    </w:rPr>
  </w:style>
  <w:style w:type="paragraph" w:styleId="32">
    <w:name w:val="footnote text"/>
    <w:basedOn w:val="1"/>
    <w:link w:val="187"/>
    <w:unhideWhenUsed/>
    <w:qFormat/>
    <w:locked/>
    <w:uiPriority w:val="99"/>
    <w:pPr>
      <w:snapToGrid w:val="0"/>
      <w:jc w:val="left"/>
    </w:pPr>
    <w:rPr>
      <w:rFonts w:ascii="Calibri" w:hAnsi="Calibri"/>
      <w:sz w:val="18"/>
      <w:szCs w:val="18"/>
    </w:rPr>
  </w:style>
  <w:style w:type="paragraph" w:styleId="33">
    <w:name w:val="toc 6"/>
    <w:basedOn w:val="1"/>
    <w:next w:val="1"/>
    <w:qFormat/>
    <w:uiPriority w:val="39"/>
    <w:pPr>
      <w:ind w:left="1050"/>
      <w:jc w:val="left"/>
    </w:pPr>
    <w:rPr>
      <w:rFonts w:ascii="等线" w:hAnsi="等线" w:eastAsia="等线"/>
      <w:sz w:val="18"/>
      <w:szCs w:val="18"/>
    </w:rPr>
  </w:style>
  <w:style w:type="paragraph" w:styleId="34">
    <w:name w:val="Body Text Indent 3"/>
    <w:basedOn w:val="1"/>
    <w:link w:val="77"/>
    <w:qFormat/>
    <w:uiPriority w:val="99"/>
    <w:pPr>
      <w:spacing w:after="120"/>
      <w:ind w:left="200" w:leftChars="200"/>
    </w:pPr>
    <w:rPr>
      <w:rFonts w:eastAsia="华文新魏"/>
      <w:sz w:val="16"/>
      <w:szCs w:val="16"/>
    </w:rPr>
  </w:style>
  <w:style w:type="paragraph" w:styleId="35">
    <w:name w:val="toc 2"/>
    <w:basedOn w:val="1"/>
    <w:next w:val="1"/>
    <w:qFormat/>
    <w:uiPriority w:val="39"/>
    <w:rPr>
      <w:rFonts w:ascii="宋体" w:eastAsia="华文新魏" w:cs="Arial"/>
      <w:b/>
      <w:szCs w:val="21"/>
    </w:rPr>
  </w:style>
  <w:style w:type="paragraph" w:styleId="36">
    <w:name w:val="toc 9"/>
    <w:basedOn w:val="1"/>
    <w:next w:val="1"/>
    <w:qFormat/>
    <w:uiPriority w:val="39"/>
    <w:pPr>
      <w:ind w:left="1600" w:leftChars="1600"/>
    </w:pPr>
    <w:rPr>
      <w:rFonts w:eastAsia="华文新魏"/>
    </w:rPr>
  </w:style>
  <w:style w:type="paragraph" w:styleId="37">
    <w:name w:val="Body Text 2"/>
    <w:basedOn w:val="1"/>
    <w:link w:val="78"/>
    <w:qFormat/>
    <w:uiPriority w:val="99"/>
    <w:pPr>
      <w:spacing w:after="120" w:line="480" w:lineRule="auto"/>
    </w:pPr>
    <w:rPr>
      <w:rFonts w:eastAsia="华文新魏"/>
    </w:rPr>
  </w:style>
  <w:style w:type="paragraph" w:styleId="38">
    <w:name w:val="List 4"/>
    <w:basedOn w:val="1"/>
    <w:qFormat/>
    <w:uiPriority w:val="99"/>
    <w:pPr>
      <w:tabs>
        <w:tab w:val="left" w:pos="0"/>
      </w:tabs>
      <w:adjustRightInd w:val="0"/>
      <w:snapToGrid w:val="0"/>
      <w:spacing w:line="360" w:lineRule="auto"/>
      <w:ind w:left="1361"/>
    </w:pPr>
    <w:rPr>
      <w:rFonts w:eastAsia="华文新魏"/>
      <w:sz w:val="24"/>
    </w:rPr>
  </w:style>
  <w:style w:type="paragraph" w:styleId="39">
    <w:name w:val="HTML Preformatted"/>
    <w:basedOn w:val="1"/>
    <w:link w:val="7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华文新魏" w:cs="Arial"/>
      <w:kern w:val="0"/>
      <w:szCs w:val="21"/>
    </w:rPr>
  </w:style>
  <w:style w:type="paragraph" w:styleId="40">
    <w:name w:val="Normal (Web)"/>
    <w:basedOn w:val="1"/>
    <w:qFormat/>
    <w:uiPriority w:val="99"/>
    <w:pPr>
      <w:widowControl/>
      <w:spacing w:before="100" w:beforeAutospacing="1" w:after="100" w:afterAutospacing="1"/>
      <w:jc w:val="left"/>
    </w:pPr>
    <w:rPr>
      <w:rFonts w:ascii="宋体" w:eastAsia="华文新魏"/>
      <w:kern w:val="0"/>
      <w:sz w:val="24"/>
    </w:rPr>
  </w:style>
  <w:style w:type="paragraph" w:styleId="41">
    <w:name w:val="index 1"/>
    <w:basedOn w:val="1"/>
    <w:next w:val="1"/>
    <w:qFormat/>
    <w:uiPriority w:val="99"/>
    <w:pPr>
      <w:spacing w:line="360" w:lineRule="auto"/>
    </w:pPr>
    <w:rPr>
      <w:rFonts w:ascii="宋体" w:eastAsia="华文新魏"/>
      <w:bCs/>
      <w:szCs w:val="21"/>
    </w:rPr>
  </w:style>
  <w:style w:type="paragraph" w:styleId="42">
    <w:name w:val="Title"/>
    <w:basedOn w:val="1"/>
    <w:next w:val="1"/>
    <w:link w:val="80"/>
    <w:qFormat/>
    <w:uiPriority w:val="0"/>
    <w:pPr>
      <w:spacing w:before="240" w:after="60"/>
      <w:jc w:val="center"/>
      <w:outlineLvl w:val="0"/>
    </w:pPr>
    <w:rPr>
      <w:rFonts w:ascii="Arial" w:hAnsi="Arial" w:eastAsia="华文新魏"/>
      <w:b/>
      <w:bCs/>
      <w:sz w:val="32"/>
      <w:szCs w:val="32"/>
    </w:rPr>
  </w:style>
  <w:style w:type="paragraph" w:styleId="43">
    <w:name w:val="annotation subject"/>
    <w:basedOn w:val="15"/>
    <w:next w:val="15"/>
    <w:link w:val="81"/>
    <w:qFormat/>
    <w:uiPriority w:val="99"/>
    <w:rPr>
      <w:rFonts w:eastAsia="华文新魏"/>
      <w:b/>
      <w:bCs/>
    </w:rPr>
  </w:style>
  <w:style w:type="paragraph" w:styleId="44">
    <w:name w:val="Body Text First Indent"/>
    <w:basedOn w:val="17"/>
    <w:link w:val="82"/>
    <w:qFormat/>
    <w:uiPriority w:val="99"/>
    <w:pPr>
      <w:ind w:firstLine="100" w:firstLineChars="100"/>
    </w:pPr>
  </w:style>
  <w:style w:type="paragraph" w:styleId="45">
    <w:name w:val="Body Text First Indent 2"/>
    <w:basedOn w:val="18"/>
    <w:next w:val="1"/>
    <w:qFormat/>
    <w:locked/>
    <w:uiPriority w:val="0"/>
    <w:pPr>
      <w:ind w:left="420" w:firstLine="420" w:firstLineChars="200"/>
    </w:pPr>
  </w:style>
  <w:style w:type="table" w:styleId="47">
    <w:name w:val="Table Grid"/>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99"/>
    <w:rPr>
      <w:rFonts w:ascii="Times New Roman" w:hAnsi="Times New Roman" w:eastAsia="华文新魏" w:cs="Times New Roman"/>
      <w:b/>
    </w:rPr>
  </w:style>
  <w:style w:type="character" w:styleId="50">
    <w:name w:val="page number"/>
    <w:basedOn w:val="48"/>
    <w:qFormat/>
    <w:uiPriority w:val="0"/>
    <w:rPr>
      <w:rFonts w:ascii="Times New Roman" w:hAnsi="Times New Roman" w:eastAsia="华文新魏" w:cs="Times New Roman"/>
    </w:rPr>
  </w:style>
  <w:style w:type="character" w:styleId="51">
    <w:name w:val="FollowedHyperlink"/>
    <w:basedOn w:val="48"/>
    <w:qFormat/>
    <w:uiPriority w:val="99"/>
    <w:rPr>
      <w:rFonts w:ascii="Times New Roman" w:hAnsi="Times New Roman" w:eastAsia="华文新魏" w:cs="Times New Roman"/>
      <w:color w:val="800080"/>
      <w:u w:val="single"/>
    </w:rPr>
  </w:style>
  <w:style w:type="character" w:styleId="52">
    <w:name w:val="Emphasis"/>
    <w:qFormat/>
    <w:uiPriority w:val="20"/>
    <w:rPr>
      <w:color w:val="CC0000"/>
    </w:rPr>
  </w:style>
  <w:style w:type="character" w:styleId="53">
    <w:name w:val="line number"/>
    <w:basedOn w:val="48"/>
    <w:qFormat/>
    <w:uiPriority w:val="99"/>
    <w:rPr>
      <w:rFonts w:ascii="Times New Roman" w:hAnsi="Times New Roman" w:eastAsia="华文新魏" w:cs="Times New Roman"/>
    </w:rPr>
  </w:style>
  <w:style w:type="character" w:styleId="54">
    <w:name w:val="Hyperlink"/>
    <w:basedOn w:val="48"/>
    <w:qFormat/>
    <w:uiPriority w:val="99"/>
    <w:rPr>
      <w:rFonts w:ascii="Times New Roman" w:hAnsi="Times New Roman" w:eastAsia="华文新魏" w:cs="Times New Roman"/>
      <w:color w:val="0000FF"/>
      <w:u w:val="single"/>
    </w:rPr>
  </w:style>
  <w:style w:type="character" w:styleId="55">
    <w:name w:val="annotation reference"/>
    <w:basedOn w:val="48"/>
    <w:qFormat/>
    <w:uiPriority w:val="99"/>
    <w:rPr>
      <w:rFonts w:ascii="Times New Roman" w:hAnsi="Times New Roman" w:eastAsia="华文新魏" w:cs="Times New Roman"/>
      <w:sz w:val="21"/>
    </w:rPr>
  </w:style>
  <w:style w:type="character" w:styleId="56">
    <w:name w:val="footnote reference"/>
    <w:unhideWhenUsed/>
    <w:qFormat/>
    <w:locked/>
    <w:uiPriority w:val="99"/>
    <w:rPr>
      <w:vertAlign w:val="superscript"/>
    </w:rPr>
  </w:style>
  <w:style w:type="paragraph" w:customStyle="1" w:styleId="57">
    <w:name w:val="Char Char Char1 Char"/>
    <w:basedOn w:val="1"/>
    <w:qFormat/>
    <w:uiPriority w:val="99"/>
    <w:rPr>
      <w:rFonts w:ascii="Tahoma" w:hAnsi="Tahoma" w:eastAsia="华文新魏"/>
      <w:sz w:val="24"/>
    </w:rPr>
  </w:style>
  <w:style w:type="character" w:customStyle="1" w:styleId="58">
    <w:name w:val="标题 3 Char"/>
    <w:basedOn w:val="48"/>
    <w:link w:val="2"/>
    <w:qFormat/>
    <w:locked/>
    <w:uiPriority w:val="99"/>
    <w:rPr>
      <w:rFonts w:ascii="Times New Roman" w:hAnsi="Times New Roman" w:eastAsia="华文新魏" w:cs="Times New Roman"/>
      <w:b/>
      <w:bCs/>
      <w:sz w:val="32"/>
      <w:szCs w:val="32"/>
    </w:rPr>
  </w:style>
  <w:style w:type="character" w:customStyle="1" w:styleId="59">
    <w:name w:val="标题 1 Char"/>
    <w:basedOn w:val="48"/>
    <w:link w:val="3"/>
    <w:qFormat/>
    <w:locked/>
    <w:uiPriority w:val="99"/>
    <w:rPr>
      <w:rFonts w:ascii="Times New Roman" w:hAnsi="Times New Roman" w:eastAsia="宋体" w:cs="Times New Roman"/>
      <w:b/>
      <w:sz w:val="48"/>
      <w:szCs w:val="24"/>
    </w:rPr>
  </w:style>
  <w:style w:type="character" w:customStyle="1" w:styleId="60">
    <w:name w:val="标题 2 Char"/>
    <w:basedOn w:val="48"/>
    <w:link w:val="4"/>
    <w:qFormat/>
    <w:locked/>
    <w:uiPriority w:val="99"/>
    <w:rPr>
      <w:rFonts w:ascii="Arial" w:hAnsi="Arial" w:eastAsia="黑体" w:cs="Times New Roman"/>
      <w:b/>
      <w:kern w:val="0"/>
      <w:sz w:val="20"/>
      <w:szCs w:val="20"/>
    </w:rPr>
  </w:style>
  <w:style w:type="character" w:customStyle="1" w:styleId="61">
    <w:name w:val="标题 4 Char"/>
    <w:basedOn w:val="48"/>
    <w:link w:val="5"/>
    <w:qFormat/>
    <w:locked/>
    <w:uiPriority w:val="99"/>
    <w:rPr>
      <w:rFonts w:ascii="Arial" w:hAnsi="Arial" w:eastAsia="黑体" w:cs="Times New Roman"/>
      <w:b/>
      <w:bCs/>
      <w:sz w:val="28"/>
      <w:szCs w:val="28"/>
    </w:rPr>
  </w:style>
  <w:style w:type="character" w:customStyle="1" w:styleId="62">
    <w:name w:val="标题 5 Char"/>
    <w:basedOn w:val="48"/>
    <w:link w:val="6"/>
    <w:qFormat/>
    <w:locked/>
    <w:uiPriority w:val="99"/>
    <w:rPr>
      <w:rFonts w:ascii="Times New Roman" w:hAnsi="Times New Roman" w:eastAsia="华文新魏" w:cs="Times New Roman"/>
      <w:b/>
      <w:sz w:val="20"/>
      <w:szCs w:val="20"/>
    </w:rPr>
  </w:style>
  <w:style w:type="character" w:customStyle="1" w:styleId="63">
    <w:name w:val="标题 6 Char"/>
    <w:basedOn w:val="48"/>
    <w:link w:val="8"/>
    <w:qFormat/>
    <w:locked/>
    <w:uiPriority w:val="99"/>
    <w:rPr>
      <w:rFonts w:ascii="Arial" w:hAnsi="Arial" w:eastAsia="黑体" w:cs="Times New Roman"/>
      <w:b/>
      <w:sz w:val="20"/>
      <w:szCs w:val="20"/>
    </w:rPr>
  </w:style>
  <w:style w:type="character" w:customStyle="1" w:styleId="64">
    <w:name w:val="标题 7 Char"/>
    <w:basedOn w:val="48"/>
    <w:link w:val="9"/>
    <w:qFormat/>
    <w:locked/>
    <w:uiPriority w:val="99"/>
    <w:rPr>
      <w:rFonts w:ascii="Times New Roman" w:hAnsi="Times New Roman" w:eastAsia="华文新魏" w:cs="Times New Roman"/>
      <w:b/>
      <w:sz w:val="20"/>
      <w:szCs w:val="20"/>
    </w:rPr>
  </w:style>
  <w:style w:type="character" w:customStyle="1" w:styleId="65">
    <w:name w:val="标题 8 Char"/>
    <w:basedOn w:val="48"/>
    <w:link w:val="10"/>
    <w:qFormat/>
    <w:locked/>
    <w:uiPriority w:val="99"/>
    <w:rPr>
      <w:rFonts w:ascii="Arial" w:hAnsi="Arial" w:eastAsia="黑体" w:cs="Times New Roman"/>
      <w:sz w:val="20"/>
      <w:szCs w:val="20"/>
    </w:rPr>
  </w:style>
  <w:style w:type="character" w:customStyle="1" w:styleId="66">
    <w:name w:val="标题 9 Char"/>
    <w:basedOn w:val="48"/>
    <w:link w:val="11"/>
    <w:qFormat/>
    <w:locked/>
    <w:uiPriority w:val="99"/>
    <w:rPr>
      <w:rFonts w:ascii="Arial" w:hAnsi="Arial" w:eastAsia="黑体" w:cs="Times New Roman"/>
      <w:sz w:val="20"/>
      <w:szCs w:val="20"/>
    </w:rPr>
  </w:style>
  <w:style w:type="character" w:customStyle="1" w:styleId="67">
    <w:name w:val="文档结构图 Char"/>
    <w:basedOn w:val="48"/>
    <w:link w:val="14"/>
    <w:qFormat/>
    <w:locked/>
    <w:uiPriority w:val="99"/>
    <w:rPr>
      <w:rFonts w:ascii="宋体" w:hAnsi="Times New Roman" w:eastAsia="华文新魏" w:cs="Times New Roman"/>
      <w:sz w:val="18"/>
      <w:szCs w:val="18"/>
    </w:rPr>
  </w:style>
  <w:style w:type="character" w:customStyle="1" w:styleId="68">
    <w:name w:val="批注文字 Char1"/>
    <w:basedOn w:val="48"/>
    <w:link w:val="15"/>
    <w:semiHidden/>
    <w:qFormat/>
    <w:locked/>
    <w:uiPriority w:val="99"/>
    <w:rPr>
      <w:rFonts w:ascii="Times New Roman" w:hAnsi="Times New Roman" w:eastAsia="宋体" w:cs="Times New Roman"/>
      <w:sz w:val="24"/>
      <w:szCs w:val="24"/>
    </w:rPr>
  </w:style>
  <w:style w:type="character" w:customStyle="1" w:styleId="69">
    <w:name w:val="正文文本 Char"/>
    <w:basedOn w:val="48"/>
    <w:link w:val="17"/>
    <w:semiHidden/>
    <w:qFormat/>
    <w:locked/>
    <w:uiPriority w:val="99"/>
    <w:rPr>
      <w:rFonts w:ascii="Times New Roman" w:hAnsi="Times New Roman" w:eastAsia="宋体" w:cs="Times New Roman"/>
      <w:sz w:val="24"/>
      <w:szCs w:val="24"/>
    </w:rPr>
  </w:style>
  <w:style w:type="character" w:customStyle="1" w:styleId="70">
    <w:name w:val="正文文本缩进 Char"/>
    <w:basedOn w:val="48"/>
    <w:link w:val="18"/>
    <w:qFormat/>
    <w:locked/>
    <w:uiPriority w:val="99"/>
    <w:rPr>
      <w:rFonts w:ascii="宋体" w:hAnsi="Times New Roman" w:eastAsia="华文新魏" w:cs="Times New Roman"/>
      <w:spacing w:val="-4"/>
      <w:sz w:val="20"/>
      <w:szCs w:val="20"/>
    </w:rPr>
  </w:style>
  <w:style w:type="character" w:customStyle="1" w:styleId="71">
    <w:name w:val="纯文本 Char"/>
    <w:basedOn w:val="48"/>
    <w:link w:val="23"/>
    <w:qFormat/>
    <w:locked/>
    <w:uiPriority w:val="99"/>
    <w:rPr>
      <w:rFonts w:ascii="宋体" w:hAnsi="Times New Roman" w:eastAsia="宋体" w:cs="Times New Roman"/>
    </w:rPr>
  </w:style>
  <w:style w:type="character" w:customStyle="1" w:styleId="72">
    <w:name w:val="日期 Char"/>
    <w:basedOn w:val="48"/>
    <w:link w:val="25"/>
    <w:qFormat/>
    <w:locked/>
    <w:uiPriority w:val="99"/>
    <w:rPr>
      <w:rFonts w:ascii="宋体" w:hAnsi="Times New Roman" w:eastAsia="华文新魏" w:cs="Times New Roman"/>
      <w:bCs/>
      <w:sz w:val="20"/>
      <w:szCs w:val="20"/>
    </w:rPr>
  </w:style>
  <w:style w:type="character" w:customStyle="1" w:styleId="73">
    <w:name w:val="正文文本缩进 2 Char"/>
    <w:basedOn w:val="48"/>
    <w:link w:val="26"/>
    <w:qFormat/>
    <w:locked/>
    <w:uiPriority w:val="99"/>
    <w:rPr>
      <w:rFonts w:ascii="Times New Roman" w:hAnsi="Times New Roman" w:eastAsia="华文新魏" w:cs="Times New Roman"/>
      <w:sz w:val="24"/>
      <w:szCs w:val="24"/>
    </w:rPr>
  </w:style>
  <w:style w:type="character" w:customStyle="1" w:styleId="74">
    <w:name w:val="批注框文本 Char"/>
    <w:basedOn w:val="48"/>
    <w:link w:val="27"/>
    <w:qFormat/>
    <w:locked/>
    <w:uiPriority w:val="99"/>
    <w:rPr>
      <w:rFonts w:ascii="Times New Roman" w:hAnsi="Times New Roman" w:eastAsia="华文新魏" w:cs="Times New Roman"/>
      <w:sz w:val="18"/>
      <w:szCs w:val="18"/>
    </w:rPr>
  </w:style>
  <w:style w:type="character" w:customStyle="1" w:styleId="75">
    <w:name w:val="页脚 Char"/>
    <w:basedOn w:val="48"/>
    <w:link w:val="28"/>
    <w:qFormat/>
    <w:locked/>
    <w:uiPriority w:val="99"/>
    <w:rPr>
      <w:rFonts w:ascii="宋体" w:hAnsi="Times New Roman" w:eastAsia="宋体" w:cs="Times New Roman"/>
      <w:sz w:val="18"/>
    </w:rPr>
  </w:style>
  <w:style w:type="character" w:customStyle="1" w:styleId="76">
    <w:name w:val="页眉 Char"/>
    <w:basedOn w:val="48"/>
    <w:link w:val="19"/>
    <w:qFormat/>
    <w:locked/>
    <w:uiPriority w:val="99"/>
    <w:rPr>
      <w:rFonts w:ascii="宋体" w:hAnsi="Times New Roman" w:eastAsia="华文新魏" w:cs="Times New Roman"/>
      <w:sz w:val="20"/>
      <w:szCs w:val="20"/>
    </w:rPr>
  </w:style>
  <w:style w:type="character" w:customStyle="1" w:styleId="77">
    <w:name w:val="正文文本缩进 3 Char"/>
    <w:basedOn w:val="48"/>
    <w:link w:val="34"/>
    <w:qFormat/>
    <w:locked/>
    <w:uiPriority w:val="99"/>
    <w:rPr>
      <w:rFonts w:ascii="Times New Roman" w:hAnsi="Times New Roman" w:eastAsia="华文新魏" w:cs="Times New Roman"/>
      <w:sz w:val="16"/>
      <w:szCs w:val="16"/>
    </w:rPr>
  </w:style>
  <w:style w:type="character" w:customStyle="1" w:styleId="78">
    <w:name w:val="正文文本 2 Char"/>
    <w:basedOn w:val="48"/>
    <w:link w:val="37"/>
    <w:qFormat/>
    <w:locked/>
    <w:uiPriority w:val="99"/>
    <w:rPr>
      <w:rFonts w:ascii="Times New Roman" w:hAnsi="Times New Roman" w:eastAsia="华文新魏" w:cs="Times New Roman"/>
      <w:sz w:val="24"/>
      <w:szCs w:val="24"/>
    </w:rPr>
  </w:style>
  <w:style w:type="character" w:customStyle="1" w:styleId="79">
    <w:name w:val="HTML 预设格式 Char"/>
    <w:basedOn w:val="48"/>
    <w:link w:val="39"/>
    <w:qFormat/>
    <w:locked/>
    <w:uiPriority w:val="99"/>
    <w:rPr>
      <w:rFonts w:ascii="Arial" w:hAnsi="Arial" w:eastAsia="华文新魏" w:cs="Arial"/>
      <w:kern w:val="0"/>
      <w:sz w:val="21"/>
      <w:szCs w:val="21"/>
    </w:rPr>
  </w:style>
  <w:style w:type="character" w:customStyle="1" w:styleId="80">
    <w:name w:val="标题 Char"/>
    <w:basedOn w:val="48"/>
    <w:link w:val="42"/>
    <w:qFormat/>
    <w:locked/>
    <w:uiPriority w:val="99"/>
    <w:rPr>
      <w:rFonts w:ascii="Arial" w:hAnsi="Arial" w:eastAsia="华文新魏" w:cs="Times New Roman"/>
      <w:b/>
      <w:bCs/>
      <w:sz w:val="32"/>
      <w:szCs w:val="32"/>
    </w:rPr>
  </w:style>
  <w:style w:type="character" w:customStyle="1" w:styleId="81">
    <w:name w:val="批注主题 Char"/>
    <w:basedOn w:val="68"/>
    <w:link w:val="43"/>
    <w:qFormat/>
    <w:locked/>
    <w:uiPriority w:val="99"/>
    <w:rPr>
      <w:rFonts w:eastAsia="华文新魏"/>
      <w:b/>
      <w:bCs/>
    </w:rPr>
  </w:style>
  <w:style w:type="character" w:customStyle="1" w:styleId="82">
    <w:name w:val="正文首行缩进 Char"/>
    <w:basedOn w:val="69"/>
    <w:link w:val="44"/>
    <w:qFormat/>
    <w:locked/>
    <w:uiPriority w:val="99"/>
  </w:style>
  <w:style w:type="character" w:customStyle="1" w:styleId="83">
    <w:name w:val="marklong"/>
    <w:qFormat/>
    <w:uiPriority w:val="99"/>
    <w:rPr>
      <w:rFonts w:ascii="Times New Roman" w:hAnsi="Times New Roman" w:eastAsia="华文新魏"/>
    </w:rPr>
  </w:style>
  <w:style w:type="character" w:customStyle="1" w:styleId="84">
    <w:name w:val="批注文字 Char"/>
    <w:qFormat/>
    <w:uiPriority w:val="0"/>
    <w:rPr>
      <w:rFonts w:ascii="Times New Roman" w:hAnsi="Times New Roman" w:eastAsia="宋体"/>
      <w:kern w:val="2"/>
      <w:sz w:val="24"/>
    </w:rPr>
  </w:style>
  <w:style w:type="character" w:customStyle="1" w:styleId="85">
    <w:name w:val="zi1"/>
    <w:qFormat/>
    <w:uiPriority w:val="99"/>
    <w:rPr>
      <w:rFonts w:ascii="??" w:hAnsi="??" w:eastAsia="华文新魏"/>
      <w:color w:val="000000"/>
      <w:sz w:val="22"/>
      <w:u w:val="none"/>
    </w:rPr>
  </w:style>
  <w:style w:type="character" w:customStyle="1" w:styleId="86">
    <w:name w:val="main141"/>
    <w:qFormat/>
    <w:uiPriority w:val="99"/>
    <w:rPr>
      <w:rFonts w:ascii="Times New Roman" w:hAnsi="Times New Roman" w:eastAsia="华文新魏"/>
      <w:sz w:val="21"/>
    </w:rPr>
  </w:style>
  <w:style w:type="character" w:customStyle="1" w:styleId="87">
    <w:name w:val="huei12b1"/>
    <w:qFormat/>
    <w:uiPriority w:val="99"/>
    <w:rPr>
      <w:rFonts w:ascii="Times New Roman" w:hAnsi="Times New Roman" w:eastAsia="华文新魏"/>
      <w:b/>
      <w:color w:val="333333"/>
      <w:sz w:val="18"/>
    </w:rPr>
  </w:style>
  <w:style w:type="character" w:customStyle="1" w:styleId="88">
    <w:name w:val="正文文本 + 11.5 pt"/>
    <w:qFormat/>
    <w:uiPriority w:val="99"/>
    <w:rPr>
      <w:rFonts w:ascii="MingLiU" w:hAnsi="Times New Roman" w:eastAsia="MingLiU"/>
      <w:color w:val="000000"/>
      <w:spacing w:val="20"/>
      <w:w w:val="100"/>
      <w:position w:val="0"/>
      <w:sz w:val="23"/>
      <w:u w:val="none"/>
      <w:lang w:val="zh-TW" w:eastAsia="zh-TW"/>
    </w:rPr>
  </w:style>
  <w:style w:type="character" w:customStyle="1" w:styleId="89">
    <w:name w:val="纯文本 字符1"/>
    <w:qFormat/>
    <w:uiPriority w:val="99"/>
    <w:rPr>
      <w:rFonts w:ascii="宋体" w:hAnsi="Times New Roman" w:eastAsia="宋体"/>
      <w:sz w:val="21"/>
    </w:rPr>
  </w:style>
  <w:style w:type="character" w:customStyle="1" w:styleId="90">
    <w:name w:val="小标题 Char"/>
    <w:qFormat/>
    <w:uiPriority w:val="99"/>
    <w:rPr>
      <w:rFonts w:ascii="Times New Roman" w:hAnsi="Times New Roman" w:eastAsia="华文新魏"/>
      <w:b/>
      <w:kern w:val="2"/>
      <w:sz w:val="32"/>
    </w:rPr>
  </w:style>
  <w:style w:type="character" w:customStyle="1" w:styleId="91">
    <w:name w:val="px141"/>
    <w:qFormat/>
    <w:uiPriority w:val="99"/>
    <w:rPr>
      <w:rFonts w:ascii="Times New Roman" w:hAnsi="Times New Roman" w:eastAsia="华文新魏"/>
      <w:sz w:val="21"/>
    </w:rPr>
  </w:style>
  <w:style w:type="character" w:customStyle="1" w:styleId="92">
    <w:name w:val="普通文字 Char Char2"/>
    <w:qFormat/>
    <w:uiPriority w:val="99"/>
    <w:rPr>
      <w:rFonts w:ascii="宋体" w:hAnsi="Times New Roman" w:eastAsia="宋体"/>
      <w:sz w:val="21"/>
    </w:rPr>
  </w:style>
  <w:style w:type="character" w:customStyle="1" w:styleId="93">
    <w:name w:val="price7"/>
    <w:qFormat/>
    <w:uiPriority w:val="99"/>
    <w:rPr>
      <w:rFonts w:ascii="Times New Roman" w:hAnsi="Times New Roman" w:eastAsia="华文新魏"/>
      <w:color w:val="CC0000"/>
    </w:rPr>
  </w:style>
  <w:style w:type="character" w:customStyle="1" w:styleId="94">
    <w:name w:val="纯文本 Char1"/>
    <w:qFormat/>
    <w:uiPriority w:val="0"/>
    <w:rPr>
      <w:rFonts w:ascii="宋体" w:hAnsi="Times New Roman" w:eastAsia="宋体"/>
      <w:sz w:val="20"/>
    </w:rPr>
  </w:style>
  <w:style w:type="character" w:customStyle="1" w:styleId="95">
    <w:name w:val="纯文本 Char2"/>
    <w:qFormat/>
    <w:uiPriority w:val="0"/>
    <w:rPr>
      <w:rFonts w:ascii="宋体" w:hAnsi="Times New Roman" w:eastAsia="宋体"/>
      <w:kern w:val="2"/>
      <w:sz w:val="21"/>
      <w:lang w:val="en-US" w:eastAsia="zh-CN"/>
    </w:rPr>
  </w:style>
  <w:style w:type="character" w:customStyle="1" w:styleId="96">
    <w:name w:val="paramname3"/>
    <w:qFormat/>
    <w:uiPriority w:val="99"/>
    <w:rPr>
      <w:rFonts w:ascii="Times New Roman" w:hAnsi="Times New Roman" w:eastAsia="华文新魏"/>
    </w:rPr>
  </w:style>
  <w:style w:type="character" w:customStyle="1" w:styleId="97">
    <w:name w:val="h"/>
    <w:qFormat/>
    <w:uiPriority w:val="99"/>
    <w:rPr>
      <w:rFonts w:ascii="Times New Roman" w:hAnsi="Times New Roman" w:eastAsia="华文新魏"/>
    </w:rPr>
  </w:style>
  <w:style w:type="character" w:customStyle="1" w:styleId="98">
    <w:name w:val="style2"/>
    <w:qFormat/>
    <w:uiPriority w:val="99"/>
    <w:rPr>
      <w:rFonts w:ascii="Times New Roman" w:hAnsi="Times New Roman" w:eastAsia="华文新魏"/>
    </w:rPr>
  </w:style>
  <w:style w:type="character" w:customStyle="1" w:styleId="99">
    <w:name w:val="标题 4 Char2"/>
    <w:qFormat/>
    <w:uiPriority w:val="99"/>
    <w:rPr>
      <w:rFonts w:ascii="Arial" w:hAnsi="Arial" w:eastAsia="黑体"/>
      <w:sz w:val="28"/>
    </w:rPr>
  </w:style>
  <w:style w:type="character" w:customStyle="1" w:styleId="100">
    <w:name w:val="font01"/>
    <w:qFormat/>
    <w:uiPriority w:val="99"/>
    <w:rPr>
      <w:rFonts w:ascii="宋体" w:hAnsi="Times New Roman" w:eastAsia="宋体"/>
      <w:color w:val="000000"/>
      <w:sz w:val="20"/>
      <w:u w:val="none"/>
    </w:rPr>
  </w:style>
  <w:style w:type="character" w:customStyle="1" w:styleId="101">
    <w:name w:val="city3"/>
    <w:qFormat/>
    <w:uiPriority w:val="99"/>
    <w:rPr>
      <w:rFonts w:ascii="Times New Roman" w:hAnsi="Times New Roman" w:eastAsia="华文新魏"/>
      <w:color w:val="999999"/>
    </w:rPr>
  </w:style>
  <w:style w:type="character" w:customStyle="1" w:styleId="102">
    <w:name w:val="链接"/>
    <w:qFormat/>
    <w:uiPriority w:val="99"/>
    <w:rPr>
      <w:rFonts w:ascii="Times New Roman" w:hAnsi="Times New Roman" w:eastAsia="宋体"/>
      <w:color w:val="0000FF"/>
      <w:sz w:val="21"/>
      <w:u w:val="single" w:color="0000FF"/>
      <w:vertAlign w:val="baseline"/>
      <w:lang w:val="en-US" w:eastAsia="zh-CN"/>
    </w:rPr>
  </w:style>
  <w:style w:type="character" w:customStyle="1" w:styleId="103">
    <w:name w:val="text11"/>
    <w:qFormat/>
    <w:uiPriority w:val="99"/>
    <w:rPr>
      <w:rFonts w:ascii="Verdana" w:hAnsi="Verdana" w:eastAsia="华文新魏"/>
      <w:color w:val="4E4E4E"/>
      <w:sz w:val="18"/>
    </w:rPr>
  </w:style>
  <w:style w:type="character" w:customStyle="1" w:styleId="104">
    <w:name w:val="正文缩进 字符"/>
    <w:qFormat/>
    <w:uiPriority w:val="99"/>
    <w:rPr>
      <w:rFonts w:ascii="Verdana" w:hAnsi="Verdana" w:eastAsia="华文新魏"/>
      <w:kern w:val="2"/>
      <w:sz w:val="21"/>
    </w:rPr>
  </w:style>
  <w:style w:type="character" w:customStyle="1" w:styleId="105">
    <w:name w:val="纯文本 Char3"/>
    <w:basedOn w:val="48"/>
    <w:semiHidden/>
    <w:qFormat/>
    <w:uiPriority w:val="99"/>
    <w:rPr>
      <w:rFonts w:ascii="宋体" w:hAnsi="Courier New" w:eastAsia="宋体" w:cs="Courier New"/>
      <w:sz w:val="21"/>
      <w:szCs w:val="21"/>
    </w:rPr>
  </w:style>
  <w:style w:type="character" w:customStyle="1" w:styleId="106">
    <w:name w:val="页脚 Char1"/>
    <w:basedOn w:val="48"/>
    <w:semiHidden/>
    <w:qFormat/>
    <w:uiPriority w:val="99"/>
    <w:rPr>
      <w:rFonts w:ascii="Times New Roman" w:hAnsi="Times New Roman" w:eastAsia="宋体" w:cs="Times New Roman"/>
      <w:sz w:val="18"/>
      <w:szCs w:val="18"/>
    </w:rPr>
  </w:style>
  <w:style w:type="paragraph" w:customStyle="1" w:styleId="107">
    <w:name w:val="CSS3级编号 Char Char Char Char Char Char Char Char Char Char Char"/>
    <w:basedOn w:val="1"/>
    <w:qFormat/>
    <w:uiPriority w:val="99"/>
    <w:pPr>
      <w:tabs>
        <w:tab w:val="left" w:pos="0"/>
      </w:tabs>
      <w:spacing w:line="360" w:lineRule="auto"/>
      <w:ind w:left="567"/>
    </w:pPr>
    <w:rPr>
      <w:rFonts w:eastAsia="华文新魏"/>
      <w:sz w:val="24"/>
    </w:rPr>
  </w:style>
  <w:style w:type="paragraph" w:customStyle="1" w:styleId="108">
    <w:name w:val="TOC 标题1"/>
    <w:basedOn w:val="3"/>
    <w:next w:val="1"/>
    <w:qFormat/>
    <w:uiPriority w:val="99"/>
    <w:pPr>
      <w:keepLines/>
      <w:widowControl/>
      <w:spacing w:before="240" w:line="259" w:lineRule="auto"/>
      <w:jc w:val="left"/>
      <w:outlineLvl w:val="9"/>
    </w:pPr>
    <w:rPr>
      <w:rFonts w:ascii="等线 Light" w:hAnsi="等线 Light" w:eastAsia="等线 Light"/>
      <w:b w:val="0"/>
      <w:color w:val="2F5496"/>
      <w:kern w:val="0"/>
      <w:sz w:val="32"/>
      <w:szCs w:val="32"/>
    </w:rPr>
  </w:style>
  <w:style w:type="paragraph" w:customStyle="1" w:styleId="109">
    <w:name w:val="CSS1级编号"/>
    <w:basedOn w:val="1"/>
    <w:qFormat/>
    <w:uiPriority w:val="99"/>
    <w:pPr>
      <w:tabs>
        <w:tab w:val="left" w:pos="0"/>
      </w:tabs>
      <w:spacing w:line="360" w:lineRule="auto"/>
    </w:pPr>
    <w:rPr>
      <w:rFonts w:eastAsia="华文新魏"/>
      <w:sz w:val="24"/>
    </w:rPr>
  </w:style>
  <w:style w:type="paragraph" w:customStyle="1" w:styleId="110">
    <w:name w:val="xl29"/>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ascii="宋体" w:eastAsia="华文新魏"/>
      <w:kern w:val="0"/>
      <w:szCs w:val="21"/>
    </w:rPr>
  </w:style>
  <w:style w:type="paragraph" w:customStyle="1" w:styleId="111">
    <w:name w:val="2"/>
    <w:basedOn w:val="1"/>
    <w:next w:val="23"/>
    <w:qFormat/>
    <w:uiPriority w:val="99"/>
    <w:rPr>
      <w:rFonts w:ascii="宋体" w:eastAsia="华文新魏"/>
      <w:szCs w:val="20"/>
    </w:rPr>
  </w:style>
  <w:style w:type="paragraph" w:customStyle="1" w:styleId="112">
    <w:name w:val="xl28"/>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eastAsia="华文新魏"/>
      <w:kern w:val="0"/>
      <w:szCs w:val="21"/>
    </w:rPr>
  </w:style>
  <w:style w:type="paragraph" w:customStyle="1" w:styleId="113">
    <w:name w:val="Char"/>
    <w:basedOn w:val="14"/>
    <w:qFormat/>
    <w:uiPriority w:val="99"/>
    <w:pPr>
      <w:widowControl/>
      <w:shd w:val="clear" w:color="auto" w:fill="000080"/>
      <w:ind w:firstLine="454"/>
      <w:jc w:val="left"/>
    </w:pPr>
    <w:rPr>
      <w:rFonts w:ascii="Tahoma" w:hAnsi="Tahoma" w:cs="宋体"/>
      <w:kern w:val="0"/>
      <w:sz w:val="24"/>
      <w:szCs w:val="20"/>
    </w:rPr>
  </w:style>
  <w:style w:type="paragraph" w:customStyle="1" w:styleId="114">
    <w:name w:val="图B-"/>
    <w:basedOn w:val="1"/>
    <w:qFormat/>
    <w:uiPriority w:val="99"/>
    <w:pPr>
      <w:tabs>
        <w:tab w:val="left" w:pos="0"/>
      </w:tabs>
      <w:jc w:val="center"/>
    </w:pPr>
    <w:rPr>
      <w:rFonts w:eastAsia="黑体"/>
      <w:szCs w:val="21"/>
    </w:rPr>
  </w:style>
  <w:style w:type="paragraph" w:customStyle="1" w:styleId="115">
    <w:name w:val="3"/>
    <w:basedOn w:val="1"/>
    <w:next w:val="23"/>
    <w:qFormat/>
    <w:uiPriority w:val="99"/>
    <w:rPr>
      <w:rFonts w:ascii="宋体" w:eastAsia="华文新魏"/>
      <w:szCs w:val="20"/>
    </w:rPr>
  </w:style>
  <w:style w:type="paragraph" w:customStyle="1" w:styleId="116">
    <w:name w:val="标书标题3"/>
    <w:basedOn w:val="1"/>
    <w:qFormat/>
    <w:uiPriority w:val="0"/>
    <w:pPr>
      <w:tabs>
        <w:tab w:val="left" w:pos="7920"/>
      </w:tabs>
      <w:adjustRightInd w:val="0"/>
      <w:snapToGrid w:val="0"/>
      <w:spacing w:line="360" w:lineRule="auto"/>
    </w:pPr>
    <w:rPr>
      <w:rFonts w:ascii="宋体" w:eastAsia="华文新魏"/>
      <w:color w:val="000000"/>
      <w:sz w:val="24"/>
      <w:szCs w:val="20"/>
    </w:rPr>
  </w:style>
  <w:style w:type="paragraph" w:customStyle="1" w:styleId="117">
    <w:name w:val="纯文本2"/>
    <w:basedOn w:val="1"/>
    <w:qFormat/>
    <w:uiPriority w:val="99"/>
    <w:pPr>
      <w:suppressAutoHyphens/>
    </w:pPr>
    <w:rPr>
      <w:rFonts w:ascii="宋体" w:eastAsia="华文新魏" w:cs="Courier New"/>
      <w:szCs w:val="21"/>
      <w:lang w:eastAsia="ar-SA"/>
    </w:rPr>
  </w:style>
  <w:style w:type="paragraph" w:customStyle="1" w:styleId="118">
    <w:name w:val="1"/>
    <w:basedOn w:val="1"/>
    <w:next w:val="23"/>
    <w:qFormat/>
    <w:uiPriority w:val="99"/>
    <w:rPr>
      <w:rFonts w:ascii="宋体" w:eastAsia="华文新魏"/>
      <w:szCs w:val="20"/>
    </w:rPr>
  </w:style>
  <w:style w:type="paragraph" w:customStyle="1" w:styleId="119">
    <w:name w:val="项目-正文"/>
    <w:basedOn w:val="1"/>
    <w:qFormat/>
    <w:uiPriority w:val="99"/>
    <w:pPr>
      <w:spacing w:line="360" w:lineRule="auto"/>
      <w:ind w:firstLine="200" w:firstLineChars="200"/>
    </w:pPr>
    <w:rPr>
      <w:rFonts w:eastAsia="华文新魏"/>
      <w:kern w:val="0"/>
      <w:sz w:val="28"/>
      <w:szCs w:val="28"/>
    </w:rPr>
  </w:style>
  <w:style w:type="paragraph" w:customStyle="1" w:styleId="120">
    <w:name w:val="font8"/>
    <w:basedOn w:val="1"/>
    <w:qFormat/>
    <w:uiPriority w:val="99"/>
    <w:pPr>
      <w:widowControl/>
      <w:spacing w:before="100" w:beforeAutospacing="1" w:after="100" w:afterAutospacing="1"/>
      <w:jc w:val="left"/>
    </w:pPr>
    <w:rPr>
      <w:rFonts w:eastAsia="华文新魏"/>
      <w:kern w:val="0"/>
      <w:szCs w:val="21"/>
    </w:rPr>
  </w:style>
  <w:style w:type="paragraph" w:customStyle="1" w:styleId="121">
    <w:name w:val="font6"/>
    <w:basedOn w:val="1"/>
    <w:qFormat/>
    <w:uiPriority w:val="99"/>
    <w:pPr>
      <w:widowControl/>
      <w:spacing w:before="100" w:beforeAutospacing="1" w:after="100" w:afterAutospacing="1"/>
      <w:jc w:val="left"/>
    </w:pPr>
    <w:rPr>
      <w:rFonts w:ascii="宋体" w:eastAsia="华文新魏"/>
      <w:kern w:val="0"/>
      <w:sz w:val="18"/>
      <w:szCs w:val="18"/>
    </w:rPr>
  </w:style>
  <w:style w:type="paragraph" w:customStyle="1" w:styleId="122">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kern w:val="0"/>
      <w:sz w:val="24"/>
    </w:rPr>
  </w:style>
  <w:style w:type="paragraph" w:customStyle="1" w:styleId="123">
    <w:name w:val="列出段落1"/>
    <w:basedOn w:val="1"/>
    <w:qFormat/>
    <w:uiPriority w:val="99"/>
    <w:pPr>
      <w:ind w:firstLine="200" w:firstLineChars="200"/>
    </w:pPr>
    <w:rPr>
      <w:rFonts w:ascii="Calibri" w:hAnsi="Calibri" w:eastAsia="华文新魏" w:cs="Calibri"/>
      <w:szCs w:val="21"/>
    </w:rPr>
  </w:style>
  <w:style w:type="paragraph" w:customStyle="1" w:styleId="124">
    <w:name w:val="字元"/>
    <w:basedOn w:val="1"/>
    <w:qFormat/>
    <w:uiPriority w:val="99"/>
    <w:pPr>
      <w:widowControl/>
      <w:tabs>
        <w:tab w:val="left" w:pos="4665"/>
        <w:tab w:val="left" w:pos="8970"/>
      </w:tabs>
      <w:ind w:firstLine="400"/>
    </w:pPr>
    <w:rPr>
      <w:rFonts w:eastAsia="华文新魏"/>
      <w:szCs w:val="22"/>
    </w:rPr>
  </w:style>
  <w:style w:type="paragraph" w:customStyle="1" w:styleId="125">
    <w:name w:val="方案正文"/>
    <w:basedOn w:val="1"/>
    <w:qFormat/>
    <w:uiPriority w:val="99"/>
    <w:pPr>
      <w:spacing w:line="360" w:lineRule="auto"/>
      <w:ind w:firstLine="420"/>
    </w:pPr>
    <w:rPr>
      <w:rFonts w:ascii="宋体" w:eastAsia="华文新魏" w:cs="宋体"/>
      <w:sz w:val="24"/>
    </w:rPr>
  </w:style>
  <w:style w:type="paragraph" w:customStyle="1" w:styleId="126">
    <w:name w:val="font9"/>
    <w:basedOn w:val="1"/>
    <w:qFormat/>
    <w:uiPriority w:val="99"/>
    <w:pPr>
      <w:widowControl/>
      <w:spacing w:before="100" w:beforeAutospacing="1" w:after="100" w:afterAutospacing="1"/>
      <w:jc w:val="left"/>
    </w:pPr>
    <w:rPr>
      <w:rFonts w:ascii="宋体" w:eastAsia="华文新魏"/>
      <w:kern w:val="0"/>
      <w:szCs w:val="21"/>
    </w:rPr>
  </w:style>
  <w:style w:type="paragraph" w:customStyle="1" w:styleId="127">
    <w:name w:val="正文 A"/>
    <w:qFormat/>
    <w:uiPriority w:val="99"/>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28">
    <w:name w:val="正文11"/>
    <w:qFormat/>
    <w:uiPriority w:val="99"/>
    <w:pPr>
      <w:ind w:firstLine="200" w:firstLineChars="200"/>
    </w:pPr>
    <w:rPr>
      <w:rFonts w:ascii="Times New Roman" w:hAnsi="Times New Roman" w:eastAsia="宋体" w:cs="宋体"/>
      <w:lang w:val="en-US" w:eastAsia="zh-CN" w:bidi="ar-SA"/>
    </w:rPr>
  </w:style>
  <w:style w:type="paragraph" w:customStyle="1" w:styleId="129">
    <w:name w:val="Char11"/>
    <w:basedOn w:val="1"/>
    <w:qFormat/>
    <w:uiPriority w:val="99"/>
    <w:pPr>
      <w:widowControl/>
      <w:spacing w:after="160" w:line="240" w:lineRule="exact"/>
      <w:jc w:val="left"/>
    </w:pPr>
    <w:rPr>
      <w:rFonts w:ascii="Verdana" w:hAnsi="Verdana" w:eastAsia="华文新魏"/>
      <w:kern w:val="0"/>
      <w:szCs w:val="20"/>
      <w:lang w:eastAsia="en-US"/>
    </w:rPr>
  </w:style>
  <w:style w:type="paragraph" w:customStyle="1" w:styleId="130">
    <w:name w:val="表A-"/>
    <w:basedOn w:val="1"/>
    <w:qFormat/>
    <w:uiPriority w:val="99"/>
    <w:pPr>
      <w:tabs>
        <w:tab w:val="left" w:pos="0"/>
      </w:tabs>
      <w:jc w:val="center"/>
    </w:pPr>
    <w:rPr>
      <w:rFonts w:eastAsia="华文新魏"/>
      <w:szCs w:val="21"/>
    </w:rPr>
  </w:style>
  <w:style w:type="paragraph" w:customStyle="1" w:styleId="131">
    <w:name w:val="修订1"/>
    <w:qFormat/>
    <w:uiPriority w:val="99"/>
    <w:rPr>
      <w:rFonts w:ascii="Times New Roman" w:hAnsi="Times New Roman" w:eastAsia="宋体" w:cs="Times New Roman"/>
      <w:kern w:val="2"/>
      <w:sz w:val="21"/>
      <w:szCs w:val="24"/>
      <w:lang w:val="en-US" w:eastAsia="zh-CN" w:bidi="ar-SA"/>
    </w:rPr>
  </w:style>
  <w:style w:type="paragraph" w:customStyle="1" w:styleId="132">
    <w:name w:val="font5"/>
    <w:basedOn w:val="1"/>
    <w:qFormat/>
    <w:uiPriority w:val="99"/>
    <w:pPr>
      <w:widowControl/>
      <w:spacing w:before="100" w:beforeAutospacing="1" w:after="100" w:afterAutospacing="1"/>
      <w:jc w:val="left"/>
    </w:pPr>
    <w:rPr>
      <w:rFonts w:ascii="宋体" w:eastAsia="华文新魏"/>
      <w:kern w:val="0"/>
      <w:sz w:val="24"/>
    </w:rPr>
  </w:style>
  <w:style w:type="paragraph" w:customStyle="1" w:styleId="133">
    <w:name w:val="Char1 Char Char Char"/>
    <w:basedOn w:val="1"/>
    <w:qFormat/>
    <w:uiPriority w:val="0"/>
    <w:rPr>
      <w:rFonts w:eastAsia="华文新魏"/>
    </w:rPr>
  </w:style>
  <w:style w:type="paragraph" w:customStyle="1" w:styleId="134">
    <w:name w:val="_Style 1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35">
    <w:name w:val="默认段落字体 Para Char"/>
    <w:basedOn w:val="1"/>
    <w:qFormat/>
    <w:uiPriority w:val="99"/>
    <w:rPr>
      <w:rFonts w:eastAsia="华文新魏"/>
    </w:rPr>
  </w:style>
  <w:style w:type="paragraph" w:customStyle="1" w:styleId="136">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kern w:val="0"/>
      <w:sz w:val="24"/>
    </w:rPr>
  </w:style>
  <w:style w:type="paragraph" w:customStyle="1" w:styleId="137">
    <w:name w:val="xl27"/>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eastAsia="华文新魏"/>
      <w:kern w:val="0"/>
      <w:szCs w:val="21"/>
    </w:rPr>
  </w:style>
  <w:style w:type="paragraph" w:customStyle="1" w:styleId="138">
    <w:name w:val="Char1"/>
    <w:basedOn w:val="1"/>
    <w:qFormat/>
    <w:uiPriority w:val="99"/>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39">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b/>
      <w:bCs/>
      <w:kern w:val="0"/>
      <w:sz w:val="24"/>
    </w:rPr>
  </w:style>
  <w:style w:type="paragraph" w:customStyle="1" w:styleId="140">
    <w:name w:val="Char Char8"/>
    <w:basedOn w:val="1"/>
    <w:qFormat/>
    <w:uiPriority w:val="99"/>
    <w:pPr>
      <w:widowControl/>
      <w:spacing w:after="160" w:line="240" w:lineRule="exact"/>
      <w:jc w:val="left"/>
    </w:pPr>
    <w:rPr>
      <w:rFonts w:ascii="Tahoma" w:hAnsi="Tahoma" w:eastAsia="华文新魏" w:cs="Verdana"/>
      <w:kern w:val="0"/>
      <w:szCs w:val="20"/>
      <w:lang w:eastAsia="en-US"/>
    </w:rPr>
  </w:style>
  <w:style w:type="paragraph" w:customStyle="1" w:styleId="141">
    <w:name w:val="Char Char Char Char Char Char1 Char"/>
    <w:basedOn w:val="1"/>
    <w:qFormat/>
    <w:uiPriority w:val="99"/>
    <w:pPr>
      <w:widowControl/>
      <w:spacing w:after="160" w:line="240" w:lineRule="exact"/>
      <w:jc w:val="left"/>
    </w:pPr>
    <w:rPr>
      <w:rFonts w:ascii="Verdana" w:hAnsi="Verdana" w:eastAsia="华文新魏"/>
      <w:kern w:val="0"/>
      <w:szCs w:val="20"/>
      <w:lang w:eastAsia="en-US"/>
    </w:rPr>
  </w:style>
  <w:style w:type="paragraph" w:customStyle="1" w:styleId="142">
    <w:name w:val="font0"/>
    <w:basedOn w:val="1"/>
    <w:qFormat/>
    <w:uiPriority w:val="99"/>
    <w:pPr>
      <w:widowControl/>
      <w:spacing w:before="100" w:beforeAutospacing="1" w:after="100" w:afterAutospacing="1"/>
      <w:jc w:val="left"/>
    </w:pPr>
    <w:rPr>
      <w:rFonts w:ascii="宋体" w:eastAsia="华文新魏"/>
      <w:kern w:val="0"/>
      <w:sz w:val="24"/>
    </w:rPr>
  </w:style>
  <w:style w:type="paragraph" w:customStyle="1" w:styleId="143">
    <w:name w:val="正文文本 21"/>
    <w:basedOn w:val="1"/>
    <w:qFormat/>
    <w:uiPriority w:val="99"/>
    <w:pPr>
      <w:adjustRightInd w:val="0"/>
      <w:ind w:firstLine="540"/>
      <w:textAlignment w:val="baseline"/>
    </w:pPr>
    <w:rPr>
      <w:rFonts w:ascii="Calibri" w:hAnsi="Calibri" w:eastAsia="华文新魏"/>
      <w:szCs w:val="20"/>
    </w:rPr>
  </w:style>
  <w:style w:type="paragraph" w:customStyle="1" w:styleId="144">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kern w:val="0"/>
      <w:sz w:val="24"/>
    </w:rPr>
  </w:style>
  <w:style w:type="paragraph" w:customStyle="1" w:styleId="145">
    <w:name w:val="正文首行缩进两字符"/>
    <w:basedOn w:val="1"/>
    <w:qFormat/>
    <w:uiPriority w:val="99"/>
    <w:pPr>
      <w:spacing w:line="360" w:lineRule="auto"/>
      <w:ind w:firstLine="200" w:firstLineChars="200"/>
    </w:pPr>
    <w:rPr>
      <w:rFonts w:eastAsia="华文新魏"/>
      <w:kern w:val="0"/>
      <w:sz w:val="24"/>
    </w:rPr>
  </w:style>
  <w:style w:type="paragraph" w:customStyle="1" w:styleId="146">
    <w:name w:val="Char Char Char Char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47">
    <w:name w:val="font7"/>
    <w:basedOn w:val="1"/>
    <w:qFormat/>
    <w:uiPriority w:val="99"/>
    <w:pPr>
      <w:widowControl/>
      <w:spacing w:before="100" w:beforeAutospacing="1" w:after="100" w:afterAutospacing="1"/>
      <w:jc w:val="left"/>
    </w:pPr>
    <w:rPr>
      <w:rFonts w:eastAsia="华文新魏"/>
      <w:kern w:val="0"/>
      <w:sz w:val="24"/>
    </w:rPr>
  </w:style>
  <w:style w:type="paragraph" w:customStyle="1" w:styleId="148">
    <w:name w:val="xl36"/>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eastAsia="华文新魏"/>
      <w:kern w:val="0"/>
      <w:sz w:val="24"/>
    </w:rPr>
  </w:style>
  <w:style w:type="paragraph" w:customStyle="1" w:styleId="149">
    <w:name w:val="当前正文"/>
    <w:qFormat/>
    <w:uiPriority w:val="99"/>
    <w:pPr>
      <w:widowControl w:val="0"/>
      <w:spacing w:line="360" w:lineRule="auto"/>
      <w:ind w:firstLine="200"/>
      <w:jc w:val="both"/>
    </w:pPr>
    <w:rPr>
      <w:rFonts w:ascii="Arial Unicode MS" w:hAnsi="Times New Roman" w:eastAsia="Arial Unicode MS" w:cs="Arial Unicode MS"/>
      <w:color w:val="000000"/>
      <w:kern w:val="2"/>
      <w:sz w:val="24"/>
      <w:szCs w:val="24"/>
      <w:u w:color="000000"/>
      <w:lang w:val="en-US" w:eastAsia="zh-CN" w:bidi="ar-SA"/>
    </w:rPr>
  </w:style>
  <w:style w:type="paragraph" w:customStyle="1" w:styleId="150">
    <w:name w:val="font10"/>
    <w:basedOn w:val="1"/>
    <w:qFormat/>
    <w:uiPriority w:val="99"/>
    <w:pPr>
      <w:widowControl/>
      <w:spacing w:before="100" w:beforeAutospacing="1" w:after="100" w:afterAutospacing="1"/>
      <w:jc w:val="left"/>
    </w:pPr>
    <w:rPr>
      <w:rFonts w:ascii="Arial" w:hAnsi="Arial" w:eastAsia="华文新魏" w:cs="Arial"/>
      <w:kern w:val="0"/>
      <w:sz w:val="19"/>
      <w:szCs w:val="19"/>
    </w:rPr>
  </w:style>
  <w:style w:type="paragraph" w:customStyle="1" w:styleId="151">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kern w:val="0"/>
      <w:sz w:val="24"/>
    </w:rPr>
  </w:style>
  <w:style w:type="paragraph" w:customStyle="1" w:styleId="152">
    <w:name w:val="Char12"/>
    <w:basedOn w:val="1"/>
    <w:qFormat/>
    <w:uiPriority w:val="99"/>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53">
    <w:name w:val="font13"/>
    <w:basedOn w:val="1"/>
    <w:qFormat/>
    <w:uiPriority w:val="99"/>
    <w:pPr>
      <w:widowControl/>
      <w:spacing w:before="100" w:beforeAutospacing="1" w:after="100" w:afterAutospacing="1"/>
      <w:jc w:val="left"/>
    </w:pPr>
    <w:rPr>
      <w:rFonts w:ascii="宋体" w:eastAsia="华文新魏"/>
      <w:b/>
      <w:bCs/>
      <w:color w:val="000000"/>
      <w:kern w:val="0"/>
      <w:sz w:val="18"/>
      <w:szCs w:val="18"/>
    </w:rPr>
  </w:style>
  <w:style w:type="paragraph" w:customStyle="1" w:styleId="154">
    <w:name w:val="font12"/>
    <w:basedOn w:val="1"/>
    <w:qFormat/>
    <w:uiPriority w:val="99"/>
    <w:pPr>
      <w:widowControl/>
      <w:spacing w:before="100" w:beforeAutospacing="1" w:after="100" w:afterAutospacing="1"/>
      <w:jc w:val="left"/>
    </w:pPr>
    <w:rPr>
      <w:rFonts w:ascii="宋体" w:eastAsia="华文新魏"/>
      <w:color w:val="000000"/>
      <w:kern w:val="0"/>
      <w:sz w:val="18"/>
      <w:szCs w:val="18"/>
    </w:rPr>
  </w:style>
  <w:style w:type="paragraph" w:customStyle="1" w:styleId="155">
    <w:name w:val="xl3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eastAsia="华文新魏"/>
      <w:kern w:val="0"/>
      <w:szCs w:val="21"/>
    </w:rPr>
  </w:style>
  <w:style w:type="paragraph" w:customStyle="1" w:styleId="156">
    <w:name w:val="纯文本1"/>
    <w:basedOn w:val="1"/>
    <w:next w:val="5"/>
    <w:qFormat/>
    <w:uiPriority w:val="0"/>
    <w:pPr>
      <w:suppressAutoHyphens/>
    </w:pPr>
    <w:rPr>
      <w:rFonts w:ascii="宋体" w:eastAsia="华文新魏"/>
      <w:sz w:val="20"/>
      <w:szCs w:val="21"/>
      <w:lang w:eastAsia="ar-SA"/>
    </w:rPr>
  </w:style>
  <w:style w:type="paragraph" w:customStyle="1" w:styleId="157">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58">
    <w:name w:val="列出段落2"/>
    <w:basedOn w:val="1"/>
    <w:qFormat/>
    <w:uiPriority w:val="99"/>
    <w:pPr>
      <w:ind w:firstLine="200" w:firstLineChars="200"/>
    </w:pPr>
    <w:rPr>
      <w:rFonts w:eastAsia="华文新魏"/>
    </w:rPr>
  </w:style>
  <w:style w:type="paragraph" w:customStyle="1" w:styleId="159">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华文新魏"/>
      <w:kern w:val="0"/>
      <w:szCs w:val="21"/>
    </w:rPr>
  </w:style>
  <w:style w:type="paragraph" w:customStyle="1" w:styleId="160">
    <w:name w:val="Default"/>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61">
    <w:name w:val="font11"/>
    <w:basedOn w:val="1"/>
    <w:qFormat/>
    <w:uiPriority w:val="99"/>
    <w:pPr>
      <w:widowControl/>
      <w:spacing w:before="100" w:beforeAutospacing="1" w:after="100" w:afterAutospacing="1"/>
      <w:jc w:val="left"/>
    </w:pPr>
    <w:rPr>
      <w:rFonts w:ascii="宋体" w:eastAsia="华文新魏"/>
      <w:b/>
      <w:bCs/>
      <w:color w:val="000000"/>
      <w:kern w:val="0"/>
      <w:sz w:val="18"/>
      <w:szCs w:val="18"/>
    </w:rPr>
  </w:style>
  <w:style w:type="paragraph" w:customStyle="1" w:styleId="162">
    <w:name w:val="4"/>
    <w:basedOn w:val="1"/>
    <w:next w:val="23"/>
    <w:qFormat/>
    <w:uiPriority w:val="99"/>
    <w:rPr>
      <w:rFonts w:ascii="宋体" w:eastAsia="华文新魏"/>
      <w:szCs w:val="20"/>
    </w:rPr>
  </w:style>
  <w:style w:type="paragraph" w:customStyle="1" w:styleId="163">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华文新魏"/>
      <w:kern w:val="0"/>
      <w:sz w:val="24"/>
    </w:rPr>
  </w:style>
  <w:style w:type="paragraph" w:customStyle="1" w:styleId="164">
    <w:name w:val="我的样式"/>
    <w:basedOn w:val="1"/>
    <w:qFormat/>
    <w:uiPriority w:val="99"/>
    <w:pPr>
      <w:widowControl/>
      <w:topLinePunct/>
      <w:adjustRightInd w:val="0"/>
      <w:snapToGrid w:val="0"/>
      <w:spacing w:line="360" w:lineRule="auto"/>
      <w:ind w:firstLine="200" w:firstLineChars="200"/>
      <w:jc w:val="left"/>
    </w:pPr>
    <w:rPr>
      <w:rFonts w:ascii="宋体" w:eastAsia="华文新魏"/>
      <w:kern w:val="0"/>
      <w:sz w:val="24"/>
      <w:szCs w:val="18"/>
    </w:rPr>
  </w:style>
  <w:style w:type="paragraph" w:customStyle="1" w:styleId="165">
    <w:name w:val="Char Char1"/>
    <w:basedOn w:val="1"/>
    <w:qFormat/>
    <w:uiPriority w:val="0"/>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66">
    <w:name w:val="样式 目录 1"/>
    <w:basedOn w:val="29"/>
    <w:qFormat/>
    <w:uiPriority w:val="99"/>
    <w:pPr>
      <w:tabs>
        <w:tab w:val="clear" w:pos="9628"/>
      </w:tabs>
      <w:adjustRightInd w:val="0"/>
      <w:spacing w:before="120" w:after="120" w:line="360" w:lineRule="auto"/>
      <w:jc w:val="left"/>
    </w:pPr>
    <w:rPr>
      <w:rFonts w:ascii="Times New Roman" w:hAnsi="Times New Roman" w:eastAsia="宋体" w:cs="宋体"/>
      <w:b w:val="0"/>
      <w:bCs/>
      <w:caps/>
      <w:color w:val="auto"/>
      <w:sz w:val="20"/>
      <w:szCs w:val="20"/>
    </w:rPr>
  </w:style>
  <w:style w:type="paragraph" w:customStyle="1" w:styleId="167">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b/>
      <w:bCs/>
      <w:kern w:val="0"/>
      <w:sz w:val="24"/>
    </w:rPr>
  </w:style>
  <w:style w:type="paragraph" w:customStyle="1" w:styleId="168">
    <w:name w:val="Char Char"/>
    <w:basedOn w:val="1"/>
    <w:qFormat/>
    <w:uiPriority w:val="99"/>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69">
    <w:name w:val="zi"/>
    <w:basedOn w:val="1"/>
    <w:qFormat/>
    <w:uiPriority w:val="99"/>
    <w:pPr>
      <w:widowControl/>
      <w:spacing w:before="100" w:beforeAutospacing="1" w:after="100" w:afterAutospacing="1" w:line="336" w:lineRule="atLeast"/>
      <w:jc w:val="left"/>
    </w:pPr>
    <w:rPr>
      <w:rFonts w:ascii="??" w:hAnsi="??" w:eastAsia="华文新魏" w:cs="宋体"/>
      <w:color w:val="000000"/>
      <w:kern w:val="0"/>
      <w:sz w:val="22"/>
      <w:szCs w:val="22"/>
    </w:rPr>
  </w:style>
  <w:style w:type="paragraph" w:customStyle="1" w:styleId="170">
    <w:name w:val="style1"/>
    <w:basedOn w:val="1"/>
    <w:qFormat/>
    <w:uiPriority w:val="99"/>
    <w:pPr>
      <w:widowControl/>
      <w:spacing w:before="100" w:beforeAutospacing="1" w:after="100" w:afterAutospacing="1"/>
      <w:jc w:val="left"/>
    </w:pPr>
    <w:rPr>
      <w:rFonts w:ascii="宋体" w:eastAsia="华文新魏" w:cs="宋体"/>
      <w:kern w:val="0"/>
      <w:sz w:val="24"/>
    </w:rPr>
  </w:style>
  <w:style w:type="paragraph" w:customStyle="1" w:styleId="171">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华文新魏"/>
      <w:kern w:val="0"/>
      <w:sz w:val="24"/>
    </w:rPr>
  </w:style>
  <w:style w:type="paragraph" w:customStyle="1" w:styleId="172">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73">
    <w:name w:val="p0"/>
    <w:basedOn w:val="1"/>
    <w:qFormat/>
    <w:uiPriority w:val="99"/>
    <w:pPr>
      <w:widowControl/>
    </w:pPr>
    <w:rPr>
      <w:rFonts w:eastAsia="华文新魏"/>
      <w:kern w:val="0"/>
      <w:szCs w:val="21"/>
    </w:rPr>
  </w:style>
  <w:style w:type="paragraph" w:customStyle="1" w:styleId="174">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华文新魏"/>
      <w:kern w:val="0"/>
      <w:sz w:val="24"/>
    </w:rPr>
  </w:style>
  <w:style w:type="paragraph" w:customStyle="1" w:styleId="175">
    <w:name w:val="Char2"/>
    <w:basedOn w:val="1"/>
    <w:qFormat/>
    <w:uiPriority w:val="99"/>
    <w:pPr>
      <w:widowControl/>
      <w:spacing w:after="160" w:line="240" w:lineRule="exact"/>
      <w:jc w:val="left"/>
    </w:pPr>
    <w:rPr>
      <w:rFonts w:ascii="Verdana" w:hAnsi="Verdana" w:eastAsia="华文新魏"/>
      <w:kern w:val="0"/>
      <w:szCs w:val="20"/>
      <w:lang w:eastAsia="en-US"/>
    </w:rPr>
  </w:style>
  <w:style w:type="paragraph" w:customStyle="1" w:styleId="176">
    <w:name w:val="font14"/>
    <w:basedOn w:val="1"/>
    <w:qFormat/>
    <w:uiPriority w:val="99"/>
    <w:pPr>
      <w:widowControl/>
      <w:spacing w:before="100" w:beforeAutospacing="1" w:after="100" w:afterAutospacing="1"/>
      <w:jc w:val="left"/>
    </w:pPr>
    <w:rPr>
      <w:rFonts w:ascii="宋体" w:eastAsia="华文新魏"/>
      <w:color w:val="000000"/>
      <w:kern w:val="0"/>
      <w:sz w:val="18"/>
      <w:szCs w:val="18"/>
    </w:rPr>
  </w:style>
  <w:style w:type="paragraph" w:customStyle="1" w:styleId="177">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华文新魏"/>
      <w:kern w:val="0"/>
      <w:sz w:val="24"/>
    </w:rPr>
  </w:style>
  <w:style w:type="paragraph" w:customStyle="1" w:styleId="178">
    <w:name w:val="正文1"/>
    <w:qFormat/>
    <w:uiPriority w:val="99"/>
    <w:pPr>
      <w:widowControl w:val="0"/>
      <w:tabs>
        <w:tab w:val="left" w:pos="-720"/>
      </w:tabs>
      <w:autoSpaceDE w:val="0"/>
      <w:autoSpaceDN w:val="0"/>
      <w:adjustRightInd w:val="0"/>
      <w:spacing w:line="240" w:lineRule="exact"/>
      <w:textAlignment w:val="bottom"/>
    </w:pPr>
    <w:rPr>
      <w:rFonts w:ascii="Arial" w:hAnsi="Arial" w:eastAsia="幼圆" w:cs="Times New Roman"/>
      <w:sz w:val="24"/>
      <w:lang w:val="en-US" w:eastAsia="zh-CN" w:bidi="ar-SA"/>
    </w:rPr>
  </w:style>
  <w:style w:type="character" w:customStyle="1" w:styleId="179">
    <w:name w:val="param-value"/>
    <w:qFormat/>
    <w:uiPriority w:val="0"/>
  </w:style>
  <w:style w:type="character" w:customStyle="1" w:styleId="180">
    <w:name w:val="纯文本 字符"/>
    <w:qFormat/>
    <w:uiPriority w:val="99"/>
    <w:rPr>
      <w:rFonts w:ascii="Ђˎ̥" w:hAnsi="Verdana" w:eastAsia="Ђˎ̥" w:cs="Verdana"/>
      <w:szCs w:val="21"/>
    </w:rPr>
  </w:style>
  <w:style w:type="character" w:customStyle="1" w:styleId="181">
    <w:name w:val="正文文本_"/>
    <w:basedOn w:val="48"/>
    <w:link w:val="182"/>
    <w:qFormat/>
    <w:uiPriority w:val="0"/>
    <w:rPr>
      <w:rFonts w:ascii="Arial Unicode MS" w:hAnsi="Arial Unicode MS" w:eastAsia="Arial Unicode MS" w:cs="Arial Unicode MS"/>
      <w:shd w:val="clear" w:color="auto" w:fill="FFFFFF"/>
    </w:rPr>
  </w:style>
  <w:style w:type="paragraph" w:customStyle="1" w:styleId="182">
    <w:name w:val="正文文本10"/>
    <w:basedOn w:val="1"/>
    <w:link w:val="181"/>
    <w:qFormat/>
    <w:uiPriority w:val="0"/>
    <w:pPr>
      <w:shd w:val="clear" w:color="auto" w:fill="FFFFFF"/>
      <w:spacing w:before="420" w:after="360" w:line="374" w:lineRule="exact"/>
      <w:jc w:val="distribute"/>
    </w:pPr>
    <w:rPr>
      <w:rFonts w:ascii="Arial Unicode MS" w:hAnsi="Arial Unicode MS" w:eastAsia="Arial Unicode MS" w:cs="Arial Unicode MS"/>
      <w:kern w:val="0"/>
      <w:sz w:val="20"/>
      <w:szCs w:val="20"/>
    </w:rPr>
  </w:style>
  <w:style w:type="character" w:customStyle="1" w:styleId="183">
    <w:name w:val="脚注文本 Char"/>
    <w:qFormat/>
    <w:uiPriority w:val="99"/>
    <w:rPr>
      <w:kern w:val="2"/>
      <w:sz w:val="18"/>
      <w:szCs w:val="18"/>
    </w:rPr>
  </w:style>
  <w:style w:type="character" w:customStyle="1" w:styleId="184">
    <w:name w:val="普通文字 Char Char4"/>
    <w:qFormat/>
    <w:uiPriority w:val="0"/>
    <w:rPr>
      <w:rFonts w:ascii="宋体" w:eastAsia="宋体" w:cs="Courier New"/>
      <w:kern w:val="2"/>
      <w:sz w:val="21"/>
      <w:szCs w:val="21"/>
      <w:lang w:val="en-US" w:eastAsia="zh-CN" w:bidi="ar-SA"/>
    </w:rPr>
  </w:style>
  <w:style w:type="character" w:customStyle="1" w:styleId="185">
    <w:name w:val="正文文本 + MingLiU"/>
    <w:basedOn w:val="48"/>
    <w:qFormat/>
    <w:uiPriority w:val="0"/>
    <w:rPr>
      <w:rFonts w:ascii="MingLiU" w:hAnsi="MingLiU" w:eastAsia="MingLiU" w:cs="MingLiU"/>
      <w:color w:val="000000"/>
      <w:spacing w:val="0"/>
      <w:w w:val="100"/>
      <w:position w:val="0"/>
      <w:sz w:val="16"/>
      <w:szCs w:val="16"/>
      <w:u w:val="none"/>
      <w:lang w:val="zh-TW"/>
    </w:rPr>
  </w:style>
  <w:style w:type="character" w:customStyle="1" w:styleId="186">
    <w:name w:val="正文文本 + Batang"/>
    <w:basedOn w:val="181"/>
    <w:qFormat/>
    <w:uiPriority w:val="0"/>
  </w:style>
  <w:style w:type="character" w:customStyle="1" w:styleId="187">
    <w:name w:val="脚注文本 Char1"/>
    <w:basedOn w:val="48"/>
    <w:link w:val="32"/>
    <w:semiHidden/>
    <w:qFormat/>
    <w:uiPriority w:val="99"/>
    <w:rPr>
      <w:rFonts w:ascii="Times New Roman" w:hAnsi="Times New Roman"/>
      <w:kern w:val="2"/>
      <w:sz w:val="18"/>
      <w:szCs w:val="18"/>
    </w:rPr>
  </w:style>
  <w:style w:type="paragraph" w:customStyle="1" w:styleId="188">
    <w:name w:val="TOC 标题2"/>
    <w:basedOn w:val="3"/>
    <w:next w:val="1"/>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189">
    <w:name w:val="_Style 12"/>
    <w:basedOn w:val="1"/>
    <w:qFormat/>
    <w:uiPriority w:val="0"/>
    <w:pPr>
      <w:spacing w:line="360" w:lineRule="auto"/>
      <w:ind w:firstLine="200" w:firstLineChars="200"/>
    </w:pPr>
    <w:rPr>
      <w:rFonts w:ascii="Arial" w:hAnsi="Arial"/>
      <w:kern w:val="0"/>
      <w:sz w:val="24"/>
    </w:rPr>
  </w:style>
  <w:style w:type="paragraph" w:customStyle="1" w:styleId="190">
    <w:name w:val="Char Char Char Char Char Char Char Char Char"/>
    <w:basedOn w:val="1"/>
    <w:qFormat/>
    <w:uiPriority w:val="0"/>
    <w:pPr>
      <w:widowControl/>
      <w:spacing w:after="160" w:line="240" w:lineRule="exact"/>
      <w:jc w:val="left"/>
    </w:pPr>
  </w:style>
  <w:style w:type="paragraph" w:customStyle="1" w:styleId="191">
    <w:name w:val="彩色底纹 - 着色 11"/>
    <w:qFormat/>
    <w:uiPriority w:val="0"/>
    <w:rPr>
      <w:rFonts w:ascii="Calibri" w:hAnsi="Calibri" w:eastAsia="宋体" w:cs="Times New Roman"/>
      <w:kern w:val="2"/>
      <w:sz w:val="21"/>
      <w:szCs w:val="22"/>
      <w:lang w:val="en-US" w:eastAsia="zh-CN" w:bidi="ar-SA"/>
    </w:rPr>
  </w:style>
  <w:style w:type="paragraph" w:customStyle="1" w:styleId="192">
    <w:name w:val="修订2"/>
    <w:qFormat/>
    <w:uiPriority w:val="0"/>
    <w:rPr>
      <w:rFonts w:ascii="Calibri" w:hAnsi="Calibri" w:eastAsia="宋体" w:cs="Times New Roman"/>
      <w:kern w:val="2"/>
      <w:sz w:val="21"/>
      <w:szCs w:val="22"/>
      <w:lang w:val="en-US" w:eastAsia="zh-CN" w:bidi="ar-SA"/>
    </w:rPr>
  </w:style>
  <w:style w:type="paragraph" w:customStyle="1" w:styleId="193">
    <w:name w:val="正文文字"/>
    <w:basedOn w:val="1"/>
    <w:qFormat/>
    <w:uiPriority w:val="0"/>
    <w:pPr>
      <w:spacing w:before="60" w:after="60" w:line="360" w:lineRule="auto"/>
      <w:ind w:firstLine="200" w:firstLineChars="200"/>
      <w:jc w:val="left"/>
    </w:pPr>
    <w:rPr>
      <w:sz w:val="24"/>
    </w:rPr>
  </w:style>
  <w:style w:type="paragraph" w:customStyle="1" w:styleId="194">
    <w:name w:val="List Paragraph1"/>
    <w:basedOn w:val="1"/>
    <w:qFormat/>
    <w:uiPriority w:val="0"/>
    <w:pPr>
      <w:ind w:firstLine="420" w:firstLineChars="200"/>
    </w:pPr>
  </w:style>
  <w:style w:type="paragraph" w:styleId="195">
    <w:name w:val="List Paragraph"/>
    <w:basedOn w:val="1"/>
    <w:qFormat/>
    <w:uiPriority w:val="34"/>
    <w:pPr>
      <w:ind w:firstLine="420" w:firstLineChars="200"/>
    </w:pPr>
  </w:style>
  <w:style w:type="paragraph" w:customStyle="1" w:styleId="196">
    <w:name w:val="p18"/>
    <w:basedOn w:val="1"/>
    <w:qFormat/>
    <w:uiPriority w:val="0"/>
    <w:pPr>
      <w:widowControl/>
      <w:spacing w:line="440" w:lineRule="atLeast"/>
    </w:pPr>
    <w:rPr>
      <w:kern w:val="0"/>
      <w:sz w:val="24"/>
    </w:rPr>
  </w:style>
  <w:style w:type="paragraph" w:customStyle="1" w:styleId="197">
    <w:name w:val="p17"/>
    <w:basedOn w:val="1"/>
    <w:qFormat/>
    <w:uiPriority w:val="0"/>
    <w:pPr>
      <w:widowControl/>
      <w:spacing w:line="440" w:lineRule="atLeast"/>
    </w:pPr>
    <w:rPr>
      <w:kern w:val="0"/>
      <w:sz w:val="24"/>
    </w:rPr>
  </w:style>
  <w:style w:type="paragraph" w:customStyle="1" w:styleId="198">
    <w:name w:val="正文段"/>
    <w:basedOn w:val="1"/>
    <w:qFormat/>
    <w:uiPriority w:val="0"/>
    <w:pPr>
      <w:widowControl/>
      <w:snapToGrid w:val="0"/>
      <w:spacing w:afterLines="50"/>
      <w:ind w:firstLine="200" w:firstLineChars="200"/>
    </w:pPr>
    <w:rPr>
      <w:kern w:val="0"/>
      <w:sz w:val="24"/>
      <w:szCs w:val="20"/>
    </w:rPr>
  </w:style>
  <w:style w:type="paragraph" w:customStyle="1" w:styleId="19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shenduxitong</Company>
  <Pages>43</Pages>
  <Words>17292</Words>
  <Characters>18166</Characters>
  <Lines>241</Lines>
  <Paragraphs>67</Paragraphs>
  <TotalTime>44</TotalTime>
  <ScaleCrop>false</ScaleCrop>
  <LinksUpToDate>false</LinksUpToDate>
  <CharactersWithSpaces>20716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2019-07-24T10:30:00Z</dcterms:created>
  <dc:creator>Administrator</dc:creator>
  <cp:lastModifiedBy>钟意嘎嘎.</cp:lastModifiedBy>
  <cp:lastPrinted>2023-03-21T02:02:00Z</cp:lastPrinted>
  <dcterms:modified xsi:type="dcterms:W3CDTF">2023-09-04T01:57:28Z</dcterms:modified>
  <dc:title>广西科联招标中心有限公司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3A013E4A041440A581AD572507733882_13</vt:lpwstr>
  </property>
</Properties>
</file>